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spacing w:before="0" w:beforeLines="0" w:beforeAutospacing="0" w:after="0" w:afterLines="0" w:afterAutospacing="0"/>
        <w:jc w:val="center"/>
        <w:rPr>
          <w:rFonts w:hint="eastAsia" w:ascii="ＭＳ 明朝" w:hAnsi="ＭＳ 明朝" w:eastAsia="ＭＳ 明朝"/>
        </w:rPr>
      </w:pPr>
      <w:r>
        <w:rPr>
          <w:rFonts w:hint="eastAsia" w:ascii="ＭＳ 明朝" w:hAnsi="ＭＳ 明朝" w:eastAsia="ＭＳ 明朝"/>
        </w:rPr>
        <w:t>令和５</w:t>
      </w:r>
      <w:bookmarkStart w:id="0" w:name="_GoBack"/>
      <w:bookmarkEnd w:id="0"/>
      <w:r>
        <w:rPr>
          <w:rFonts w:hint="eastAsia" w:ascii="ＭＳ 明朝" w:hAnsi="ＭＳ 明朝" w:eastAsia="ＭＳ 明朝"/>
        </w:rPr>
        <w:t>年度仁木町障害者就労施設等からの優先調達方針</w:t>
      </w:r>
    </w:p>
    <w:p>
      <w:pPr>
        <w:pStyle w:val="0"/>
        <w:widowControl w:val="0"/>
        <w:autoSpaceDE w:val="0"/>
        <w:autoSpaceDN w:val="0"/>
        <w:spacing w:before="0" w:beforeLines="0" w:beforeAutospacing="0" w:after="0" w:afterLines="0" w:afterAutospacing="0"/>
        <w:jc w:val="center"/>
        <w:rPr>
          <w:rFonts w:hint="eastAsia" w:ascii="ＭＳ 明朝" w:hAnsi="ＭＳ 明朝" w:eastAsia="ＭＳ 明朝"/>
        </w:rPr>
      </w:pPr>
    </w:p>
    <w:p>
      <w:pPr>
        <w:pStyle w:val="0"/>
        <w:widowControl w:val="0"/>
        <w:autoSpaceDE w:val="0"/>
        <w:autoSpaceDN w:val="0"/>
        <w:spacing w:before="0" w:beforeLines="0" w:beforeAutospacing="0" w:after="0" w:afterLines="0" w:afterAutospacing="0"/>
        <w:rPr>
          <w:rFonts w:hint="eastAsia" w:ascii="ＭＳ 明朝" w:hAnsi="ＭＳ 明朝" w:eastAsia="ＭＳ 明朝"/>
        </w:rPr>
      </w:pPr>
      <w:r>
        <w:rPr>
          <w:rFonts w:hint="eastAsia" w:ascii="ＭＳ 明朝" w:hAnsi="ＭＳ 明朝" w:eastAsia="ＭＳ 明朝"/>
        </w:rPr>
        <w:t>　国等による障害者就労施設等からの物品等の調達の推進等に関する法律（平成</w:t>
      </w:r>
      <w:r>
        <w:rPr>
          <w:rFonts w:hint="eastAsia" w:ascii="ＭＳ 明朝" w:hAnsi="ＭＳ 明朝" w:eastAsia="ＭＳ 明朝"/>
        </w:rPr>
        <w:t>24</w:t>
      </w:r>
      <w:r>
        <w:rPr>
          <w:rFonts w:hint="eastAsia" w:ascii="ＭＳ 明朝" w:hAnsi="ＭＳ 明朝" w:eastAsia="ＭＳ 明朝"/>
        </w:rPr>
        <w:t>年法律第</w:t>
      </w:r>
      <w:r>
        <w:rPr>
          <w:rFonts w:hint="eastAsia" w:ascii="ＭＳ 明朝" w:hAnsi="ＭＳ 明朝" w:eastAsia="ＭＳ 明朝"/>
        </w:rPr>
        <w:t>50</w:t>
      </w:r>
      <w:r>
        <w:rPr>
          <w:rFonts w:hint="eastAsia" w:ascii="ＭＳ 明朝" w:hAnsi="ＭＳ 明朝" w:eastAsia="ＭＳ 明朝"/>
        </w:rPr>
        <w:t>号。以下「障害者優先調達推進法」という。）第９条の規定に基づき、障害者就労施設等からの優先調達方針（以下「調達方針」という。）を定め、仁木町における障害者就労施設等からの優先調達の一層の推進を図る。</w:t>
      </w:r>
    </w:p>
    <w:p>
      <w:pPr>
        <w:pStyle w:val="0"/>
        <w:widowControl w:val="0"/>
        <w:autoSpaceDE w:val="0"/>
        <w:autoSpaceDN w:val="0"/>
        <w:spacing w:before="0" w:beforeLines="0" w:beforeAutospacing="0" w:after="0" w:afterLines="0" w:afterAutospacing="0"/>
        <w:rPr>
          <w:rFonts w:hint="eastAsia" w:ascii="ＭＳ 明朝" w:hAnsi="ＭＳ 明朝" w:eastAsia="ＭＳ 明朝"/>
        </w:rPr>
      </w:pPr>
      <w:r>
        <w:rPr>
          <w:rFonts w:hint="eastAsia" w:ascii="ＭＳ 明朝" w:hAnsi="ＭＳ 明朝" w:eastAsia="ＭＳ 明朝"/>
        </w:rPr>
        <w:t>１　目的</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　　仁木町が障害者就労施設等からの物品及び役務（以下「物品等」）の優先的な調達を推進することにより、障害者就労施設等で就労する障がい者の自立の促進に資することを目的とする。</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２　用語の定義</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　　この調達方針において使用する用語は、障害者優先調達推進法で使用する用語の例による。</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　　なお、この調達方針における課等とは、課、出納室、議会事務局、教育委員会事務局、農業委員会事務局並びに選挙管理委員会事務局をいう。</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３　適用範囲</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　　本調達方針は、課等に適用する。</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４　調達方針の対象となる障害者就労施設等</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rPr>
        <w:t>　　調達方針の対象となる障害者就労施設等は以下のうち、所在地又は住所が仁木町内にある施設等とする。</w:t>
      </w:r>
    </w:p>
    <w:p>
      <w:pPr>
        <w:pStyle w:val="0"/>
        <w:widowControl w:val="0"/>
        <w:autoSpaceDE w:val="0"/>
        <w:autoSpaceDN w:val="0"/>
        <w:spacing w:before="0" w:beforeLines="0" w:beforeAutospacing="0" w:after="0" w:afterLines="0" w:afterAutospacing="0"/>
        <w:ind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障害者支援施設</w:t>
      </w:r>
    </w:p>
    <w:p>
      <w:pPr>
        <w:pStyle w:val="0"/>
        <w:widowControl w:val="0"/>
        <w:autoSpaceDE w:val="0"/>
        <w:autoSpaceDN w:val="0"/>
        <w:spacing w:before="0" w:beforeLines="0" w:beforeAutospacing="0" w:after="0" w:afterLines="0" w:afterAutospacing="0"/>
        <w:ind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地域活動支援センター</w:t>
      </w:r>
    </w:p>
    <w:p>
      <w:pPr>
        <w:pStyle w:val="0"/>
        <w:widowControl w:val="0"/>
        <w:autoSpaceDE w:val="0"/>
        <w:autoSpaceDN w:val="0"/>
        <w:spacing w:before="0" w:beforeLines="0" w:beforeAutospacing="0" w:after="0" w:afterLines="0" w:afterAutospacing="0"/>
        <w:ind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障害福祉サービス事業所（生活介護、就労移行支援又は就労継続支援事業）</w:t>
      </w:r>
    </w:p>
    <w:p>
      <w:pPr>
        <w:pStyle w:val="0"/>
        <w:widowControl w:val="0"/>
        <w:autoSpaceDE w:val="0"/>
        <w:autoSpaceDN w:val="0"/>
        <w:spacing w:before="0" w:beforeLines="0" w:beforeAutospacing="0" w:after="0" w:afterLines="0" w:afterAutospacing="0"/>
        <w:ind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その他障害者優先調達推進法第２条第２項第２号又は第３号に規定する施設</w:t>
      </w:r>
    </w:p>
    <w:p>
      <w:pPr>
        <w:pStyle w:val="0"/>
        <w:widowControl w:val="0"/>
        <w:autoSpaceDE w:val="0"/>
        <w:autoSpaceDN w:val="0"/>
        <w:spacing w:before="0" w:beforeLines="0" w:beforeAutospacing="0" w:after="0" w:afterLines="0" w:afterAutospacing="0"/>
        <w:rPr>
          <w:rFonts w:hint="eastAsia" w:ascii="ＭＳ 明朝" w:hAnsi="ＭＳ 明朝" w:eastAsia="ＭＳ 明朝"/>
        </w:rPr>
      </w:pPr>
      <w:r>
        <w:rPr>
          <w:rFonts w:hint="eastAsia" w:ascii="ＭＳ 明朝" w:hAnsi="ＭＳ 明朝" w:eastAsia="ＭＳ 明朝"/>
        </w:rPr>
        <w:t>５　調達の推進方法</w:t>
      </w:r>
    </w:p>
    <w:p>
      <w:pPr>
        <w:pStyle w:val="0"/>
        <w:widowControl w:val="0"/>
        <w:autoSpaceDE w:val="0"/>
        <w:autoSpaceDN w:val="0"/>
        <w:spacing w:before="0" w:beforeLines="0" w:beforeAutospacing="0" w:after="0" w:afterLines="0" w:afterAutospacing="0"/>
        <w:ind w:left="0" w:leftChars="0"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調達の推進に必要な情報の提供</w:t>
      </w:r>
    </w:p>
    <w:p>
      <w:pPr>
        <w:pStyle w:val="0"/>
        <w:widowControl w:val="0"/>
        <w:autoSpaceDE w:val="0"/>
        <w:autoSpaceDN w:val="0"/>
        <w:spacing w:before="0" w:beforeLines="0" w:beforeAutospacing="0" w:after="0" w:afterLines="0" w:afterAutospacing="0"/>
        <w:ind w:left="668" w:leftChars="300" w:firstLine="223" w:firstLineChars="100"/>
        <w:rPr>
          <w:rFonts w:hint="eastAsia" w:ascii="ＭＳ 明朝" w:hAnsi="ＭＳ 明朝" w:eastAsia="ＭＳ 明朝"/>
        </w:rPr>
      </w:pPr>
      <w:r>
        <w:rPr>
          <w:rFonts w:hint="eastAsia" w:ascii="ＭＳ 明朝" w:hAnsi="ＭＳ 明朝" w:eastAsia="ＭＳ 明朝"/>
        </w:rPr>
        <w:t>福祉課にあっては、課等に対し、４の障害者就労施設等が提供する物品等の内容等その調達の推進のために必要な情報提供を行う。</w:t>
      </w:r>
    </w:p>
    <w:p>
      <w:pPr>
        <w:pStyle w:val="0"/>
        <w:widowControl w:val="0"/>
        <w:autoSpaceDE w:val="0"/>
        <w:autoSpaceDN w:val="0"/>
        <w:spacing w:before="0" w:beforeLines="0" w:beforeAutospacing="0" w:after="0" w:afterLines="0" w:afterAutospacing="0"/>
        <w:ind w:left="0" w:leftChars="0"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障害者就労施設等の受注機会増大のための措置</w:t>
      </w:r>
    </w:p>
    <w:p>
      <w:pPr>
        <w:pStyle w:val="0"/>
        <w:widowControl w:val="0"/>
        <w:autoSpaceDE w:val="0"/>
        <w:autoSpaceDN w:val="0"/>
        <w:spacing w:before="0" w:beforeLines="0" w:beforeAutospacing="0" w:after="0" w:afterLines="0" w:afterAutospacing="0"/>
        <w:ind w:left="668" w:leftChars="300" w:firstLine="223" w:firstLineChars="100"/>
        <w:rPr>
          <w:rFonts w:hint="eastAsia" w:ascii="ＭＳ 明朝" w:hAnsi="ＭＳ 明朝" w:eastAsia="ＭＳ 明朝"/>
        </w:rPr>
      </w:pPr>
      <w:r>
        <w:rPr>
          <w:rFonts w:hint="eastAsia" w:ascii="ＭＳ 明朝" w:hAnsi="ＭＳ 明朝" w:eastAsia="ＭＳ 明朝"/>
        </w:rPr>
        <w:t>物品等の調達に当たっては、適正な価格、機能及び品質を確保しつつ、次の観点についても配慮することとする。</w:t>
      </w:r>
    </w:p>
    <w:p>
      <w:pPr>
        <w:pStyle w:val="0"/>
        <w:widowControl w:val="0"/>
        <w:autoSpaceDE w:val="0"/>
        <w:autoSpaceDN w:val="0"/>
        <w:spacing w:before="0" w:beforeLines="0" w:beforeAutospacing="0" w:after="0" w:afterLines="0" w:afterAutospacing="0"/>
        <w:ind w:left="669" w:leftChars="200" w:hanging="223" w:hangingChars="100"/>
        <w:rPr>
          <w:rFonts w:hint="eastAsia" w:ascii="ＭＳ 明朝" w:hAnsi="ＭＳ 明朝" w:eastAsia="ＭＳ 明朝"/>
        </w:rPr>
      </w:pPr>
      <w:r>
        <w:rPr>
          <w:rFonts w:hint="eastAsia" w:ascii="ＭＳ 明朝" w:hAnsi="ＭＳ 明朝" w:eastAsia="ＭＳ 明朝"/>
        </w:rPr>
        <w:t>ア　物品等の調達が新たに生じた場合には、障害者就労施設等からの調達の可能性について検討するように努める。</w:t>
      </w:r>
    </w:p>
    <w:p>
      <w:pPr>
        <w:pStyle w:val="0"/>
        <w:widowControl w:val="0"/>
        <w:autoSpaceDE w:val="0"/>
        <w:autoSpaceDN w:val="0"/>
        <w:spacing w:before="0" w:beforeLines="0" w:beforeAutospacing="0" w:after="0" w:afterLines="0" w:afterAutospacing="0"/>
        <w:ind w:left="669" w:leftChars="200" w:hanging="223" w:hangingChars="100"/>
        <w:rPr>
          <w:rFonts w:hint="eastAsia" w:ascii="ＭＳ 明朝" w:hAnsi="ＭＳ 明朝" w:eastAsia="ＭＳ 明朝"/>
        </w:rPr>
      </w:pPr>
      <w:r>
        <w:rPr>
          <w:rFonts w:hint="eastAsia" w:ascii="ＭＳ 明朝" w:hAnsi="ＭＳ 明朝" w:eastAsia="ＭＳ 明朝"/>
        </w:rPr>
        <w:t>イ　物品等の調達について、障害者就労施設等からの調達が可能となるよう履行期間及び発注量を考慮するように努める。</w:t>
      </w:r>
    </w:p>
    <w:p>
      <w:pPr>
        <w:pStyle w:val="0"/>
        <w:widowControl w:val="0"/>
        <w:autoSpaceDE w:val="0"/>
        <w:autoSpaceDN w:val="0"/>
        <w:spacing w:before="0" w:beforeLines="0" w:beforeAutospacing="0" w:after="0" w:afterLines="0" w:afterAutospacing="0"/>
        <w:ind w:leftChars="0" w:firstLine="0" w:firstLineChars="0"/>
        <w:rPr>
          <w:rFonts w:hint="eastAsia" w:ascii="ＭＳ 明朝" w:hAnsi="ＭＳ 明朝" w:eastAsia="ＭＳ 明朝"/>
        </w:rPr>
      </w:pPr>
      <w:r>
        <w:rPr>
          <w:rFonts w:hint="eastAsia" w:ascii="ＭＳ 明朝" w:hAnsi="ＭＳ 明朝" w:eastAsia="ＭＳ 明朝"/>
        </w:rPr>
        <w:t>　　ウ　町内の中小企業等の健全な受注環境に悪影響を及ぼさないよう配慮する。</w:t>
      </w:r>
    </w:p>
    <w:p>
      <w:pPr>
        <w:pStyle w:val="0"/>
        <w:widowControl w:val="0"/>
        <w:autoSpaceDE w:val="0"/>
        <w:autoSpaceDN w:val="0"/>
        <w:spacing w:before="0" w:beforeLines="0" w:beforeAutospacing="0" w:after="0" w:afterLines="0" w:afterAutospacing="0"/>
        <w:ind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随意契約による調達</w:t>
      </w:r>
    </w:p>
    <w:p>
      <w:pPr>
        <w:pStyle w:val="0"/>
        <w:widowControl w:val="0"/>
        <w:autoSpaceDE w:val="0"/>
        <w:autoSpaceDN w:val="0"/>
        <w:spacing w:before="0" w:beforeLines="0" w:beforeAutospacing="0" w:after="0" w:afterLines="0" w:afterAutospacing="0"/>
        <w:ind w:left="668" w:leftChars="300" w:firstLine="223" w:firstLineChars="100"/>
        <w:jc w:val="left"/>
        <w:rPr>
          <w:rFonts w:hint="eastAsia" w:ascii="ＭＳ 明朝" w:hAnsi="ＭＳ 明朝" w:eastAsia="ＭＳ 明朝"/>
        </w:rPr>
      </w:pPr>
      <w:r>
        <w:rPr>
          <w:rFonts w:hint="eastAsia" w:ascii="ＭＳ 明朝" w:hAnsi="ＭＳ 明朝" w:eastAsia="ＭＳ 明朝"/>
        </w:rPr>
        <w:t>障害者就労施設等からの物品等の調達に際しては、地方自治法施行令（昭和</w:t>
      </w:r>
      <w:r>
        <w:rPr>
          <w:rFonts w:hint="eastAsia" w:ascii="ＭＳ 明朝" w:hAnsi="ＭＳ 明朝" w:eastAsia="ＭＳ 明朝"/>
        </w:rPr>
        <w:t xml:space="preserve">22 </w:t>
      </w:r>
      <w:r>
        <w:rPr>
          <w:rFonts w:hint="eastAsia" w:ascii="ＭＳ 明朝" w:hAnsi="ＭＳ 明朝" w:eastAsia="ＭＳ 明朝"/>
        </w:rPr>
        <w:t>年政令第</w:t>
      </w:r>
      <w:r>
        <w:rPr>
          <w:rFonts w:hint="eastAsia" w:ascii="ＭＳ 明朝" w:hAnsi="ＭＳ 明朝" w:eastAsia="ＭＳ 明朝"/>
        </w:rPr>
        <w:t>16</w:t>
      </w:r>
      <w:r>
        <w:rPr>
          <w:rFonts w:hint="eastAsia" w:ascii="ＭＳ 明朝" w:hAnsi="ＭＳ 明朝" w:eastAsia="ＭＳ 明朝"/>
        </w:rPr>
        <w:t>号）第</w:t>
      </w:r>
      <w:r>
        <w:rPr>
          <w:rFonts w:hint="eastAsia" w:ascii="ＭＳ 明朝" w:hAnsi="ＭＳ 明朝" w:eastAsia="ＭＳ 明朝"/>
        </w:rPr>
        <w:t>167</w:t>
      </w:r>
      <w:r>
        <w:rPr>
          <w:rFonts w:hint="eastAsia" w:ascii="ＭＳ 明朝" w:hAnsi="ＭＳ 明朝" w:eastAsia="ＭＳ 明朝"/>
        </w:rPr>
        <w:t>条の２第１項第３号の規定による随意契約を積極的に活用することとし、障害者就労施設等から物品等を調達するよう努める。</w:t>
      </w:r>
    </w:p>
    <w:p>
      <w:pPr>
        <w:pStyle w:val="0"/>
        <w:widowControl w:val="0"/>
        <w:autoSpaceDE w:val="0"/>
        <w:autoSpaceDN w:val="0"/>
        <w:spacing w:before="0" w:beforeLines="0" w:beforeAutospacing="0" w:after="0" w:afterLines="0" w:afterAutospacing="0"/>
        <w:ind w:firstLine="223"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物品等の調達に関しては、課等の契約において積極的に取り組むこととする。</w:t>
      </w:r>
    </w:p>
    <w:p>
      <w:pPr>
        <w:pStyle w:val="0"/>
        <w:widowControl w:val="0"/>
        <w:autoSpaceDE w:val="0"/>
        <w:autoSpaceDN w:val="0"/>
        <w:spacing w:before="0" w:beforeLines="0" w:beforeAutospacing="0" w:after="0" w:afterLines="0" w:afterAutospacing="0"/>
        <w:ind w:left="446" w:hanging="446"/>
        <w:rPr>
          <w:rFonts w:hint="eastAsia" w:ascii="ＭＳ 明朝" w:hAnsi="ＭＳ 明朝" w:eastAsia="ＭＳ 明朝"/>
        </w:rPr>
      </w:pPr>
      <w:r>
        <w:rPr>
          <w:rFonts w:hint="eastAsia" w:ascii="ＭＳ 明朝" w:hAnsi="ＭＳ 明朝" w:eastAsia="ＭＳ 明朝"/>
        </w:rPr>
        <w:t>６　調達目標</w:t>
      </w:r>
    </w:p>
    <w:p>
      <w:pPr>
        <w:pStyle w:val="0"/>
        <w:widowControl w:val="0"/>
        <w:autoSpaceDE w:val="0"/>
        <w:autoSpaceDN w:val="0"/>
        <w:spacing w:before="0" w:beforeLines="0" w:beforeAutospacing="0" w:after="0" w:afterLines="0" w:afterAutospacing="0"/>
        <w:ind w:left="446" w:hanging="446"/>
        <w:rPr>
          <w:rFonts w:hint="eastAsia" w:ascii="ＭＳ 明朝" w:hAnsi="ＭＳ 明朝" w:eastAsia="ＭＳ 明朝"/>
        </w:rPr>
      </w:pPr>
      <w:r>
        <w:rPr>
          <w:rFonts w:hint="eastAsia" w:ascii="ＭＳ 明朝" w:hAnsi="ＭＳ 明朝" w:eastAsia="ＭＳ 明朝"/>
        </w:rPr>
        <w:t>　　前年度の調達実績額を上回るよう努める。</w:t>
      </w:r>
    </w:p>
    <w:p>
      <w:pPr>
        <w:pStyle w:val="0"/>
        <w:widowControl w:val="0"/>
        <w:autoSpaceDE w:val="0"/>
        <w:autoSpaceDN w:val="0"/>
        <w:spacing w:before="0" w:beforeLines="0" w:beforeAutospacing="0" w:after="0" w:afterLines="0" w:afterAutospacing="0"/>
        <w:ind w:left="446" w:hanging="446"/>
        <w:rPr>
          <w:rFonts w:hint="eastAsia" w:ascii="ＭＳ 明朝" w:hAnsi="ＭＳ 明朝" w:eastAsia="ＭＳ 明朝"/>
        </w:rPr>
      </w:pPr>
      <w:r>
        <w:rPr>
          <w:rFonts w:hint="eastAsia" w:ascii="ＭＳ 明朝" w:hAnsi="ＭＳ 明朝" w:eastAsia="ＭＳ 明朝"/>
        </w:rPr>
        <w:t>７　調達方針及び調達実績の公表</w:t>
      </w:r>
    </w:p>
    <w:p>
      <w:pPr>
        <w:pStyle w:val="0"/>
        <w:widowControl w:val="0"/>
        <w:autoSpaceDE w:val="0"/>
        <w:autoSpaceDN w:val="0"/>
        <w:spacing w:before="0" w:beforeLines="0" w:beforeAutospacing="0" w:after="0" w:afterLines="0" w:afterAutospacing="0"/>
        <w:ind w:left="446" w:leftChars="100" w:hanging="223"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調達方針を策定又は見直しを行ったときは、町ホームページ等により、速やかに公表する。</w:t>
      </w:r>
    </w:p>
    <w:p>
      <w:pPr>
        <w:pStyle w:val="0"/>
        <w:widowControl w:val="0"/>
        <w:autoSpaceDE w:val="0"/>
        <w:autoSpaceDN w:val="0"/>
        <w:spacing w:before="0" w:beforeLines="0" w:beforeAutospacing="0" w:after="0" w:afterLines="0" w:afterAutospacing="0"/>
        <w:ind w:left="446" w:leftChars="100" w:hanging="223"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調達実績については、町全体の調達実績額のほか、課等ごとの調達実績額など、概要をとりまとめ、町ホームページ等により、速やかに公表する。</w:t>
      </w:r>
    </w:p>
    <w:p>
      <w:pPr>
        <w:pStyle w:val="0"/>
        <w:widowControl w:val="0"/>
        <w:autoSpaceDE w:val="0"/>
        <w:autoSpaceDN w:val="0"/>
        <w:spacing w:before="0" w:beforeLines="0" w:beforeAutospacing="0" w:after="0" w:afterLines="0" w:afterAutospacing="0"/>
        <w:rPr>
          <w:rFonts w:hint="eastAsia" w:ascii="ＭＳ 明朝" w:hAnsi="ＭＳ 明朝" w:eastAsia="ＭＳ 明朝"/>
        </w:rPr>
      </w:pPr>
      <w:r>
        <w:rPr>
          <w:rFonts w:hint="eastAsia" w:ascii="ＭＳ 明朝" w:hAnsi="ＭＳ 明朝" w:eastAsia="ＭＳ 明朝"/>
        </w:rPr>
        <w:t>８</w:t>
      </w:r>
      <w:r>
        <w:rPr>
          <w:rFonts w:hint="eastAsia" w:ascii="ＭＳ 明朝" w:hAnsi="ＭＳ 明朝" w:eastAsia="ＭＳ 明朝"/>
          <w:color w:val="000000"/>
        </w:rPr>
        <w:t>　仁木町が行う契約における障がい者の就業を促進するための措置等</w:t>
      </w:r>
    </w:p>
    <w:p>
      <w:pPr>
        <w:pStyle w:val="0"/>
        <w:widowControl w:val="0"/>
        <w:autoSpaceDE w:val="0"/>
        <w:autoSpaceDN w:val="0"/>
        <w:spacing w:before="0" w:beforeLines="0" w:beforeAutospacing="0" w:after="0" w:afterLines="0" w:afterAutospacing="0"/>
        <w:ind w:left="223" w:hanging="223"/>
        <w:rPr>
          <w:rFonts w:hint="eastAsia" w:ascii="ＭＳ 明朝" w:hAnsi="ＭＳ 明朝" w:eastAsia="ＭＳ 明朝"/>
        </w:rPr>
      </w:pPr>
      <w:r>
        <w:rPr>
          <w:rFonts w:hint="eastAsia" w:ascii="ＭＳ 明朝" w:hAnsi="ＭＳ 明朝" w:eastAsia="ＭＳ 明朝"/>
          <w:color w:val="000000"/>
        </w:rPr>
        <w:t>　　仁木町は、町内に存する又は障がいのある町民が勤務する企業等であって、北海道障がい者条例（平成</w:t>
      </w:r>
      <w:r>
        <w:rPr>
          <w:rFonts w:hint="eastAsia" w:ascii="ＭＳ 明朝" w:hAnsi="ＭＳ 明朝" w:eastAsia="ＭＳ 明朝"/>
          <w:color w:val="000000"/>
        </w:rPr>
        <w:t>21</w:t>
      </w:r>
      <w:r>
        <w:rPr>
          <w:rFonts w:hint="eastAsia" w:ascii="ＭＳ 明朝" w:hAnsi="ＭＳ 明朝" w:eastAsia="ＭＳ 明朝"/>
          <w:color w:val="000000"/>
        </w:rPr>
        <w:t>年北海道条例第</w:t>
      </w:r>
      <w:r>
        <w:rPr>
          <w:rFonts w:hint="eastAsia" w:ascii="ＭＳ 明朝" w:hAnsi="ＭＳ 明朝" w:eastAsia="ＭＳ 明朝"/>
          <w:color w:val="000000"/>
        </w:rPr>
        <w:t>50</w:t>
      </w:r>
      <w:r>
        <w:rPr>
          <w:rFonts w:hint="eastAsia" w:ascii="ＭＳ 明朝" w:hAnsi="ＭＳ 明朝" w:eastAsia="ＭＳ 明朝"/>
          <w:color w:val="000000"/>
        </w:rPr>
        <w:t>号）に基づき障がい者の就労支援を行う事業者として認証した企業等への入札上の優遇や随意契約における契約の相手方選定の際の配慮などにより、障がい者の就業を促進するための措置を講ずるよう努める。</w:t>
      </w:r>
    </w:p>
    <w:sectPr>
      <w:footerReference r:id="rId5" w:type="even"/>
      <w:footerReference r:id="rId6" w:type="default"/>
      <w:footnotePr>
        <w:numRestart w:val="eachPage"/>
      </w:footnotePr>
      <w:endnotePr>
        <w:numFmt w:val="decimal"/>
      </w:endnotePr>
      <w:pgSz w:w="11906" w:h="16838"/>
      <w:pgMar w:top="1701" w:right="1553" w:bottom="1701" w:left="1554" w:header="1134" w:footer="1020" w:gutter="0"/>
      <w:cols w:space="720"/>
      <w:textDirection w:val="lrTb"/>
      <w:docGrid w:type="linesAndChars" w:linePitch="383" w:charSpace="5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0" w:lineRule="atLeast"/>
      <w:jc w:val="center"/>
      <w:framePr w:wrap="around" w:hAnchor="margin" w:vAnchor="page" w:x="-4" w:y="15564"/>
      <w:rPr>
        <w:rFonts w:hint="eastAsia"/>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widowControl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91"/>
  <w:hyphenationZone w:val="0"/>
  <w:drawingGridHorizontalSpacing w:val="393"/>
  <w:drawingGridVerticalSpacing w:val="38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HG丸ｺﾞｼｯｸM-PRO" w:hAnsi="HG丸ｺﾞｼｯｸM-PRO" w:eastAsia="HG丸ｺﾞｼｯｸM-PRO"/>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HG丸ｺﾞｼｯｸM-PRO" w:hAnsi="HG丸ｺﾞｼｯｸM-PRO" w:eastAsia="HG丸ｺﾞｼｯｸM-PRO"/>
      <w:color w:val="000000"/>
      <w:w w:val="1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TotalTime>
  <Pages>2</Pages>
  <Words>7</Words>
  <Characters>1334</Characters>
  <Application>JUST Note</Application>
  <Lines>53</Lines>
  <Paragraphs>33</Paragraphs>
  <CharactersWithSpaces>1373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加藤＿直樹</dc:creator>
  <cp:lastModifiedBy>lg-y-katsurashita</cp:lastModifiedBy>
  <cp:lastPrinted>2021-06-29T00:35:45Z</cp:lastPrinted>
  <dcterms:created xsi:type="dcterms:W3CDTF">2019-03-31T03:17:00Z</dcterms:created>
  <dcterms:modified xsi:type="dcterms:W3CDTF">2022-04-30T23:40:04Z</dcterms:modified>
  <cp:revision>17</cp:revision>
</cp:coreProperties>
</file>