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overflowPunct w:val="1"/>
        <w:autoSpaceDE w:val="0"/>
        <w:autoSpaceDN w:val="0"/>
        <w:ind w:leftChars="0" w:firstLine="0" w:firstLineChars="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令和６年度仁木町観光看板設置工事</w:t>
      </w:r>
    </w:p>
    <w:p>
      <w:pPr>
        <w:pStyle w:val="0"/>
        <w:kinsoku w:val="0"/>
        <w:wordWrap w:val="0"/>
        <w:overflowPunct w:val="1"/>
        <w:autoSpaceDE w:val="0"/>
        <w:autoSpaceDN w:val="0"/>
        <w:ind w:leftChars="0" w:firstLine="0" w:firstLineChars="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公募型プロポーザル実施要領</w:t>
      </w:r>
    </w:p>
    <w:p>
      <w:pPr>
        <w:pStyle w:val="0"/>
        <w:kinsoku w:val="0"/>
        <w:wordWrap w:val="0"/>
        <w:overflowPunct w:val="1"/>
        <w:autoSpaceDE w:val="0"/>
        <w:autoSpaceDN w:val="0"/>
        <w:rPr>
          <w:rFonts w:hint="eastAsia" w:ascii="ＭＳ 明朝" w:hAnsi="ＭＳ 明朝" w:eastAsia="ＭＳ 明朝"/>
          <w:color w:val="auto"/>
          <w:sz w:val="22"/>
          <w:highlight w:val="none"/>
        </w:rPr>
      </w:pP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　目　的</w:t>
      </w:r>
    </w:p>
    <w:p>
      <w:pPr>
        <w:pStyle w:val="0"/>
        <w:kinsoku w:val="0"/>
        <w:wordWrap w:val="0"/>
        <w:overflowPunct w:val="1"/>
        <w:autoSpaceDE w:val="0"/>
        <w:autoSpaceDN w:val="0"/>
        <w:ind w:left="210" w:leftChars="100"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令和６年度仁木町観光看板設置工事に係る契約の相手方となる事業者の選定にあたり、公募型プロポーザルの実施方法等、必要な事項を定める。</w:t>
      </w:r>
    </w:p>
    <w:p>
      <w:pPr>
        <w:pStyle w:val="0"/>
        <w:kinsoku w:val="0"/>
        <w:wordWrap w:val="0"/>
        <w:overflowPunct w:val="1"/>
        <w:autoSpaceDE w:val="0"/>
        <w:autoSpaceDN w:val="0"/>
        <w:rPr>
          <w:rFonts w:hint="eastAsia" w:ascii="ＭＳ 明朝" w:hAnsi="ＭＳ 明朝" w:eastAsia="ＭＳ 明朝"/>
          <w:color w:val="auto"/>
          <w:sz w:val="22"/>
          <w:highlight w:val="none"/>
        </w:rPr>
      </w:pP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　工事概要</w:t>
      </w:r>
    </w:p>
    <w:p>
      <w:pPr>
        <w:pStyle w:val="0"/>
        <w:kinsoku w:val="0"/>
        <w:wordWrap w:val="0"/>
        <w:overflowPunct w:val="1"/>
        <w:autoSpaceDE w:val="0"/>
        <w:autoSpaceDN w:val="0"/>
        <w:ind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（１）工事名</w:t>
      </w:r>
    </w:p>
    <w:p>
      <w:pPr>
        <w:pStyle w:val="0"/>
        <w:kinsoku w:val="0"/>
        <w:wordWrap w:val="0"/>
        <w:overflowPunct w:val="1"/>
        <w:autoSpaceDE w:val="0"/>
        <w:autoSpaceDN w:val="0"/>
        <w:ind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令和６年度観光看板設置工事</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（２）工事目的</w:t>
      </w:r>
    </w:p>
    <w:p>
      <w:pPr>
        <w:pStyle w:val="0"/>
        <w:kinsoku w:val="0"/>
        <w:wordWrap w:val="0"/>
        <w:overflowPunct w:val="1"/>
        <w:autoSpaceDE w:val="0"/>
        <w:autoSpaceDN w:val="0"/>
        <w:ind w:left="420" w:leftChars="200" w:firstLine="220" w:firstLineChars="100"/>
        <w:rPr>
          <w:rFonts w:hint="eastAsia" w:ascii="ＭＳ 明朝" w:hAnsi="ＭＳ 明朝" w:eastAsia="ＭＳ 明朝"/>
          <w:color w:val="auto"/>
          <w:sz w:val="22"/>
          <w:highlight w:val="none"/>
        </w:rPr>
      </w:pPr>
      <w:r>
        <w:rPr>
          <w:rFonts w:hint="eastAsia" w:ascii="ＭＳ 明朝" w:hAnsi="ＭＳ 明朝"/>
          <w:sz w:val="22"/>
        </w:rPr>
        <w:t>本町は、令和６年度末に予定している一般国道５号倶知安余市道路の（仮）仁木ＩＣ開通に伴い、札幌市や新千歳空港といった北海道の中心部及び、小樽・ニセコエリアなどの観光地へのアクセスがこれまで以上に向上し、来町者の増加が見込まれるため、ＩＣ出口付近に観光看板を設置することにより、興味関心を喚起することを目的とする。</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（３）工事期間</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契約締結日から令和７年３月</w:t>
      </w:r>
      <w:r>
        <w:rPr>
          <w:rFonts w:hint="eastAsia" w:ascii="ＭＳ 明朝" w:hAnsi="ＭＳ 明朝" w:eastAsia="ＭＳ 明朝"/>
          <w:color w:val="auto"/>
          <w:sz w:val="22"/>
          <w:highlight w:val="none"/>
        </w:rPr>
        <w:t>14</w:t>
      </w:r>
      <w:r>
        <w:rPr>
          <w:rFonts w:hint="eastAsia" w:ascii="ＭＳ 明朝" w:hAnsi="ＭＳ 明朝" w:eastAsia="ＭＳ 明朝"/>
          <w:color w:val="auto"/>
          <w:sz w:val="22"/>
          <w:highlight w:val="none"/>
        </w:rPr>
        <w:t>日（金）まで</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（４）提案上限額</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５，２５５，０００円（消費税及び地方消費税を含む。）</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なお、提案上限額を超える提案については、無効とする。</w:t>
      </w:r>
    </w:p>
    <w:p>
      <w:pPr>
        <w:pStyle w:val="0"/>
        <w:kinsoku w:val="0"/>
        <w:wordWrap w:val="0"/>
        <w:overflowPunct w:val="1"/>
        <w:autoSpaceDE w:val="0"/>
        <w:autoSpaceDN w:val="0"/>
        <w:rPr>
          <w:rFonts w:hint="eastAsia" w:ascii="ＭＳ 明朝" w:hAnsi="ＭＳ 明朝" w:eastAsia="ＭＳ 明朝"/>
          <w:color w:val="auto"/>
          <w:sz w:val="22"/>
          <w:highlight w:val="none"/>
        </w:rPr>
      </w:pP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　スケジュール</w:t>
      </w:r>
      <w:bookmarkStart w:id="0" w:name="_GoBack"/>
      <w:bookmarkEnd w:id="0"/>
    </w:p>
    <w:p>
      <w:pPr>
        <w:pStyle w:val="0"/>
        <w:kinsoku w:val="0"/>
        <w:wordWrap w:val="0"/>
        <w:overflowPunct w:val="1"/>
        <w:autoSpaceDE w:val="0"/>
        <w:autoSpaceDN w:val="0"/>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令和６年</w:t>
      </w:r>
      <w:r>
        <w:rPr>
          <w:rFonts w:hint="eastAsia" w:ascii="ＭＳ 明朝" w:hAnsi="ＭＳ 明朝" w:eastAsia="ＭＳ 明朝"/>
          <w:color w:val="auto"/>
          <w:sz w:val="22"/>
          <w:highlight w:val="none"/>
        </w:rPr>
        <w:t>12</w:t>
      </w:r>
      <w:r>
        <w:rPr>
          <w:rFonts w:hint="eastAsia" w:ascii="ＭＳ 明朝" w:hAnsi="ＭＳ 明朝" w:eastAsia="ＭＳ 明朝"/>
          <w:color w:val="auto"/>
          <w:sz w:val="22"/>
          <w:highlight w:val="none"/>
        </w:rPr>
        <w:t>月</w:t>
      </w:r>
      <w:r>
        <w:rPr>
          <w:rFonts w:hint="eastAsia" w:ascii="ＭＳ 明朝" w:hAnsi="ＭＳ 明朝" w:eastAsia="ＭＳ 明朝"/>
          <w:color w:val="auto"/>
          <w:sz w:val="22"/>
          <w:highlight w:val="none"/>
        </w:rPr>
        <w:t>20</w:t>
      </w:r>
      <w:r>
        <w:rPr>
          <w:rFonts w:hint="eastAsia" w:ascii="ＭＳ 明朝" w:hAnsi="ＭＳ 明朝" w:eastAsia="ＭＳ 明朝"/>
          <w:color w:val="auto"/>
          <w:sz w:val="22"/>
          <w:highlight w:val="none"/>
        </w:rPr>
        <w:t>日（金）　公募開始</w:t>
      </w:r>
    </w:p>
    <w:p>
      <w:pPr>
        <w:pStyle w:val="0"/>
        <w:kinsoku w:val="0"/>
        <w:wordWrap w:val="0"/>
        <w:overflowPunct w:val="1"/>
        <w:autoSpaceDE w:val="0"/>
        <w:autoSpaceDN w:val="0"/>
        <w:ind w:left="210" w:leftChars="100"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令和７年１月７日（火）　質問の締切</w:t>
      </w:r>
    </w:p>
    <w:p>
      <w:pPr>
        <w:pStyle w:val="0"/>
        <w:kinsoku w:val="0"/>
        <w:wordWrap w:val="0"/>
        <w:overflowPunct w:val="1"/>
        <w:autoSpaceDE w:val="0"/>
        <w:autoSpaceDN w:val="0"/>
        <w:ind w:left="210" w:leftChars="100" w:firstLine="1100" w:firstLineChars="5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１月９日（木）　質問の回答</w:t>
      </w:r>
    </w:p>
    <w:p>
      <w:pPr>
        <w:pStyle w:val="0"/>
        <w:kinsoku w:val="0"/>
        <w:wordWrap w:val="0"/>
        <w:overflowPunct w:val="1"/>
        <w:autoSpaceDE w:val="0"/>
        <w:autoSpaceDN w:val="0"/>
        <w:ind w:left="210" w:leftChars="100" w:firstLine="1100" w:firstLineChars="5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１月</w:t>
      </w:r>
      <w:r>
        <w:rPr>
          <w:rFonts w:hint="eastAsia" w:ascii="ＭＳ 明朝" w:hAnsi="ＭＳ 明朝" w:eastAsia="ＭＳ 明朝"/>
          <w:color w:val="auto"/>
          <w:sz w:val="22"/>
          <w:highlight w:val="none"/>
        </w:rPr>
        <w:t>10</w:t>
      </w:r>
      <w:r>
        <w:rPr>
          <w:rFonts w:hint="eastAsia" w:ascii="ＭＳ 明朝" w:hAnsi="ＭＳ 明朝" w:eastAsia="ＭＳ 明朝"/>
          <w:color w:val="auto"/>
          <w:sz w:val="22"/>
          <w:highlight w:val="none"/>
        </w:rPr>
        <w:t>日（金）　参加表明書の締切</w:t>
      </w:r>
    </w:p>
    <w:p>
      <w:pPr>
        <w:pStyle w:val="0"/>
        <w:kinsoku w:val="0"/>
        <w:wordWrap w:val="0"/>
        <w:overflowPunct w:val="1"/>
        <w:autoSpaceDE w:val="0"/>
        <w:autoSpaceDN w:val="0"/>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１月</w:t>
      </w:r>
      <w:r>
        <w:rPr>
          <w:rFonts w:hint="eastAsia" w:ascii="ＭＳ 明朝" w:hAnsi="ＭＳ 明朝" w:eastAsia="ＭＳ 明朝"/>
          <w:color w:val="auto"/>
          <w:sz w:val="22"/>
          <w:highlight w:val="none"/>
        </w:rPr>
        <w:t>20</w:t>
      </w:r>
      <w:r>
        <w:rPr>
          <w:rFonts w:hint="eastAsia" w:ascii="ＭＳ 明朝" w:hAnsi="ＭＳ 明朝" w:eastAsia="ＭＳ 明朝"/>
          <w:color w:val="auto"/>
          <w:sz w:val="22"/>
          <w:highlight w:val="none"/>
        </w:rPr>
        <w:t>日（月）　提案書の締切</w:t>
      </w:r>
    </w:p>
    <w:p>
      <w:pPr>
        <w:pStyle w:val="0"/>
        <w:kinsoku w:val="0"/>
        <w:wordWrap w:val="0"/>
        <w:overflowPunct w:val="1"/>
        <w:autoSpaceDE w:val="0"/>
        <w:autoSpaceDN w:val="0"/>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１月</w:t>
      </w:r>
      <w:r>
        <w:rPr>
          <w:rFonts w:hint="eastAsia" w:ascii="ＭＳ 明朝" w:hAnsi="ＭＳ 明朝" w:eastAsia="ＭＳ 明朝"/>
          <w:color w:val="auto"/>
          <w:sz w:val="22"/>
          <w:highlight w:val="none"/>
        </w:rPr>
        <w:t>24</w:t>
      </w:r>
      <w:r>
        <w:rPr>
          <w:rFonts w:hint="eastAsia" w:ascii="ＭＳ 明朝" w:hAnsi="ＭＳ 明朝" w:eastAsia="ＭＳ 明朝"/>
          <w:color w:val="auto"/>
          <w:sz w:val="22"/>
          <w:highlight w:val="none"/>
        </w:rPr>
        <w:t>日（金）　プレゼンテーション（ヒアリング）</w:t>
      </w:r>
    </w:p>
    <w:p>
      <w:pPr>
        <w:pStyle w:val="0"/>
        <w:kinsoku w:val="0"/>
        <w:wordWrap w:val="0"/>
        <w:overflowPunct w:val="1"/>
        <w:autoSpaceDE w:val="0"/>
        <w:autoSpaceDN w:val="0"/>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１月</w:t>
      </w:r>
      <w:r>
        <w:rPr>
          <w:rFonts w:hint="eastAsia" w:ascii="ＭＳ 明朝" w:hAnsi="ＭＳ 明朝" w:eastAsia="ＭＳ 明朝"/>
          <w:color w:val="auto"/>
          <w:sz w:val="22"/>
          <w:highlight w:val="none"/>
        </w:rPr>
        <w:t>27</w:t>
      </w:r>
      <w:r>
        <w:rPr>
          <w:rFonts w:hint="eastAsia" w:ascii="ＭＳ 明朝" w:hAnsi="ＭＳ 明朝" w:eastAsia="ＭＳ 明朝"/>
          <w:color w:val="auto"/>
          <w:sz w:val="22"/>
          <w:highlight w:val="none"/>
        </w:rPr>
        <w:t>日（月）　審査結果通知</w:t>
      </w:r>
    </w:p>
    <w:p>
      <w:pPr>
        <w:pStyle w:val="0"/>
        <w:kinsoku w:val="0"/>
        <w:wordWrap w:val="0"/>
        <w:overflowPunct w:val="1"/>
        <w:autoSpaceDE w:val="0"/>
        <w:autoSpaceDN w:val="0"/>
        <w:rPr>
          <w:rFonts w:hint="eastAsia" w:ascii="ＭＳ 明朝" w:hAnsi="ＭＳ 明朝" w:eastAsia="ＭＳ 明朝"/>
          <w:color w:val="auto"/>
          <w:sz w:val="22"/>
          <w:highlight w:val="none"/>
        </w:rPr>
      </w:pP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４　提案資格</w:t>
      </w:r>
    </w:p>
    <w:p>
      <w:pPr>
        <w:pStyle w:val="0"/>
        <w:kinsoku w:val="0"/>
        <w:wordWrap w:val="0"/>
        <w:overflowPunct w:val="1"/>
        <w:autoSpaceDE w:val="0"/>
        <w:autoSpaceDN w:val="0"/>
        <w:ind w:left="210" w:leftChars="100"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本工事に係る公募型プロポーザルに参加することができる者は、次に掲げる要件（以下「提出資格」という。）の全てに該当する者とする。</w:t>
      </w:r>
    </w:p>
    <w:p>
      <w:pPr>
        <w:pStyle w:val="0"/>
        <w:kinsoku w:val="0"/>
        <w:wordWrap w:val="0"/>
        <w:overflowPunct w:val="1"/>
        <w:autoSpaceDE w:val="0"/>
        <w:autoSpaceDN w:val="0"/>
        <w:ind w:left="0" w:leftChars="0" w:hanging="44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（１）地方自治法施行令（昭和</w:t>
      </w:r>
      <w:r>
        <w:rPr>
          <w:rFonts w:hint="eastAsia" w:ascii="ＭＳ 明朝" w:hAnsi="ＭＳ 明朝" w:eastAsia="ＭＳ 明朝"/>
          <w:color w:val="auto"/>
          <w:sz w:val="22"/>
          <w:highlight w:val="none"/>
        </w:rPr>
        <w:t>22</w:t>
      </w:r>
      <w:r>
        <w:rPr>
          <w:rFonts w:hint="eastAsia" w:ascii="ＭＳ 明朝" w:hAnsi="ＭＳ 明朝" w:eastAsia="ＭＳ 明朝"/>
          <w:color w:val="auto"/>
          <w:sz w:val="22"/>
          <w:highlight w:val="none"/>
        </w:rPr>
        <w:t>年政令第</w:t>
      </w:r>
      <w:r>
        <w:rPr>
          <w:rFonts w:hint="eastAsia" w:ascii="ＭＳ 明朝" w:hAnsi="ＭＳ 明朝" w:eastAsia="ＭＳ 明朝"/>
          <w:color w:val="auto"/>
          <w:sz w:val="22"/>
          <w:highlight w:val="none"/>
        </w:rPr>
        <w:t>16</w:t>
      </w:r>
      <w:r>
        <w:rPr>
          <w:rFonts w:hint="eastAsia" w:ascii="ＭＳ 明朝" w:hAnsi="ＭＳ 明朝" w:eastAsia="ＭＳ 明朝"/>
          <w:color w:val="auto"/>
          <w:sz w:val="22"/>
          <w:highlight w:val="none"/>
        </w:rPr>
        <w:t>号）第</w:t>
      </w:r>
      <w:r>
        <w:rPr>
          <w:rFonts w:hint="eastAsia" w:ascii="ＭＳ 明朝" w:hAnsi="ＭＳ 明朝" w:eastAsia="ＭＳ 明朝"/>
          <w:color w:val="auto"/>
          <w:sz w:val="22"/>
          <w:highlight w:val="none"/>
        </w:rPr>
        <w:t>167</w:t>
      </w:r>
      <w:r>
        <w:rPr>
          <w:rFonts w:hint="eastAsia" w:ascii="ＭＳ 明朝" w:hAnsi="ＭＳ 明朝" w:eastAsia="ＭＳ 明朝"/>
          <w:color w:val="auto"/>
          <w:sz w:val="22"/>
          <w:highlight w:val="none"/>
        </w:rPr>
        <w:t>条の４に規定に該当しない者であること。</w:t>
      </w:r>
    </w:p>
    <w:p>
      <w:pPr>
        <w:pStyle w:val="0"/>
        <w:kinsoku w:val="0"/>
        <w:wordWrap w:val="0"/>
        <w:overflowPunct w:val="1"/>
        <w:autoSpaceDE w:val="0"/>
        <w:autoSpaceDN w:val="0"/>
        <w:ind w:leftChars="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（２）仁木町の競争入札参加資格者名簿に登録されていること。</w:t>
      </w:r>
    </w:p>
    <w:p>
      <w:pPr>
        <w:pStyle w:val="0"/>
        <w:kinsoku w:val="0"/>
        <w:wordWrap w:val="0"/>
        <w:overflowPunct w:val="1"/>
        <w:autoSpaceDE w:val="0"/>
        <w:autoSpaceDN w:val="0"/>
        <w:ind w:left="0" w:leftChars="0" w:hanging="44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（３）仁木町建設工事等入札参加資格者指名停止事務処理要領（平成</w:t>
      </w:r>
      <w:r>
        <w:rPr>
          <w:rFonts w:hint="eastAsia" w:ascii="ＭＳ 明朝" w:hAnsi="ＭＳ 明朝" w:eastAsia="ＭＳ 明朝"/>
          <w:color w:val="auto"/>
          <w:sz w:val="22"/>
          <w:highlight w:val="none"/>
        </w:rPr>
        <w:t>15</w:t>
      </w:r>
      <w:r>
        <w:rPr>
          <w:rFonts w:hint="eastAsia" w:ascii="ＭＳ 明朝" w:hAnsi="ＭＳ 明朝" w:eastAsia="ＭＳ 明朝"/>
          <w:color w:val="auto"/>
          <w:sz w:val="22"/>
          <w:highlight w:val="none"/>
        </w:rPr>
        <w:t>年仁木町告示第４号）の規定による指名停止措置の期間中でない者であること。</w:t>
      </w:r>
    </w:p>
    <w:p>
      <w:pPr>
        <w:pStyle w:val="0"/>
        <w:kinsoku w:val="0"/>
        <w:wordWrap w:val="0"/>
        <w:overflowPunct w:val="1"/>
        <w:autoSpaceDE w:val="0"/>
        <w:autoSpaceDN w:val="0"/>
        <w:ind w:left="0" w:leftChars="0" w:hanging="44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（４）会社更生法（平成</w:t>
      </w:r>
      <w:r>
        <w:rPr>
          <w:rFonts w:hint="eastAsia" w:ascii="ＭＳ 明朝" w:hAnsi="ＭＳ 明朝" w:eastAsia="ＭＳ 明朝"/>
          <w:color w:val="auto"/>
          <w:sz w:val="22"/>
          <w:highlight w:val="none"/>
        </w:rPr>
        <w:t>14</w:t>
      </w:r>
      <w:r>
        <w:rPr>
          <w:rFonts w:hint="eastAsia" w:ascii="ＭＳ 明朝" w:hAnsi="ＭＳ 明朝" w:eastAsia="ＭＳ 明朝"/>
          <w:color w:val="auto"/>
          <w:sz w:val="22"/>
          <w:highlight w:val="none"/>
        </w:rPr>
        <w:t>年法律第</w:t>
      </w:r>
      <w:r>
        <w:rPr>
          <w:rFonts w:hint="eastAsia" w:ascii="ＭＳ 明朝" w:hAnsi="ＭＳ 明朝" w:eastAsia="ＭＳ 明朝"/>
          <w:color w:val="auto"/>
          <w:sz w:val="22"/>
          <w:highlight w:val="none"/>
        </w:rPr>
        <w:t>154</w:t>
      </w:r>
      <w:r>
        <w:rPr>
          <w:rFonts w:hint="eastAsia" w:ascii="ＭＳ 明朝" w:hAnsi="ＭＳ 明朝" w:eastAsia="ＭＳ 明朝"/>
          <w:color w:val="auto"/>
          <w:sz w:val="22"/>
          <w:highlight w:val="none"/>
        </w:rPr>
        <w:t>号）に基づく更生手続開始の申立をしている者（更正手続開始の決定を受けている者を除く。）、又は民事再生法（平成</w:t>
      </w:r>
      <w:r>
        <w:rPr>
          <w:rFonts w:hint="eastAsia" w:ascii="ＭＳ 明朝" w:hAnsi="ＭＳ 明朝" w:eastAsia="ＭＳ 明朝"/>
          <w:color w:val="auto"/>
          <w:sz w:val="22"/>
          <w:highlight w:val="none"/>
        </w:rPr>
        <w:t>11</w:t>
      </w:r>
      <w:r>
        <w:rPr>
          <w:rFonts w:hint="eastAsia" w:ascii="ＭＳ 明朝" w:hAnsi="ＭＳ 明朝" w:eastAsia="ＭＳ 明朝"/>
          <w:color w:val="auto"/>
          <w:sz w:val="22"/>
          <w:highlight w:val="none"/>
        </w:rPr>
        <w:t>年法律第</w:t>
      </w:r>
      <w:r>
        <w:rPr>
          <w:rFonts w:hint="eastAsia" w:ascii="ＭＳ 明朝" w:hAnsi="ＭＳ 明朝" w:eastAsia="ＭＳ 明朝"/>
          <w:color w:val="auto"/>
          <w:sz w:val="22"/>
          <w:highlight w:val="none"/>
        </w:rPr>
        <w:t>225</w:t>
      </w:r>
      <w:r>
        <w:rPr>
          <w:rFonts w:hint="eastAsia" w:ascii="ＭＳ 明朝" w:hAnsi="ＭＳ 明朝" w:eastAsia="ＭＳ 明朝"/>
          <w:color w:val="auto"/>
          <w:sz w:val="22"/>
          <w:highlight w:val="none"/>
        </w:rPr>
        <w:t>号）に基づく再生手続開始の申立をしている者（再生手続開始の決定を受けている者を除く。）でないこと。</w:t>
      </w:r>
    </w:p>
    <w:p>
      <w:pPr>
        <w:pStyle w:val="0"/>
        <w:kinsoku w:val="0"/>
        <w:wordWrap w:val="0"/>
        <w:overflowPunct w:val="1"/>
        <w:autoSpaceDE w:val="0"/>
        <w:autoSpaceDN w:val="0"/>
        <w:ind w:leftChars="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（５）次のアからカまでのいずれの場合にも該当しないこと。</w:t>
      </w:r>
    </w:p>
    <w:p>
      <w:pPr>
        <w:pStyle w:val="0"/>
        <w:kinsoku w:val="0"/>
        <w:wordWrap w:val="0"/>
        <w:overflowPunct w:val="1"/>
        <w:autoSpaceDE w:val="0"/>
        <w:autoSpaceDN w:val="0"/>
        <w:ind w:left="640" w:leftChars="20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ア　役員等（個人である場合にはその者を、法人である場合にはその全ての役員をいう。以下同じ。）が暴力団員（暴力団員による不当な行為の防止等に関する法律（平成３年法律第</w:t>
      </w:r>
      <w:r>
        <w:rPr>
          <w:rFonts w:hint="eastAsia" w:ascii="ＭＳ 明朝" w:hAnsi="ＭＳ 明朝" w:eastAsia="ＭＳ 明朝"/>
          <w:color w:val="auto"/>
          <w:sz w:val="22"/>
          <w:highlight w:val="none"/>
        </w:rPr>
        <w:t>77</w:t>
      </w:r>
      <w:r>
        <w:rPr>
          <w:rFonts w:hint="eastAsia" w:ascii="ＭＳ 明朝" w:hAnsi="ＭＳ 明朝" w:eastAsia="ＭＳ 明朝"/>
          <w:color w:val="auto"/>
          <w:sz w:val="22"/>
          <w:highlight w:val="none"/>
        </w:rPr>
        <w:t>号。以下「法」という。）第２条第６号に規定する暴力団員をいう。以下同じ。）であると認められるとき。</w:t>
      </w:r>
    </w:p>
    <w:p>
      <w:pPr>
        <w:pStyle w:val="0"/>
        <w:kinsoku w:val="0"/>
        <w:wordWrap w:val="0"/>
        <w:overflowPunct w:val="1"/>
        <w:autoSpaceDE w:val="0"/>
        <w:autoSpaceDN w:val="0"/>
        <w:ind w:left="640" w:leftChars="20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イ　暴力団（法第２条第２号に規定する暴力団をいう。以下同じ。）、又は暴力団員が経営に実質的に関与していると認められるとき。</w:t>
      </w:r>
    </w:p>
    <w:p>
      <w:pPr>
        <w:pStyle w:val="0"/>
        <w:kinsoku w:val="0"/>
        <w:wordWrap w:val="0"/>
        <w:overflowPunct w:val="1"/>
        <w:autoSpaceDE w:val="0"/>
        <w:autoSpaceDN w:val="0"/>
        <w:ind w:left="640" w:leftChars="20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ウ　役員等が自己、自社若しくは第三者の不正の利益を図る目的、又は第三者に損害を与える目的をもって暴力団、又は暴力団員を利用するなどしたと認められるとき。</w:t>
      </w:r>
    </w:p>
    <w:p>
      <w:pPr>
        <w:pStyle w:val="0"/>
        <w:kinsoku w:val="0"/>
        <w:wordWrap w:val="0"/>
        <w:overflowPunct w:val="1"/>
        <w:autoSpaceDE w:val="0"/>
        <w:autoSpaceDN w:val="0"/>
        <w:ind w:left="640" w:leftChars="20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エ　役員等が暴力団、又は暴力団員に対して資金等を供給し、又は便宜を供与するなど直接的、又は積極的に暴力団の維持、又は運営に協力し、又は関与していると認められるとき。</w:t>
      </w:r>
    </w:p>
    <w:p>
      <w:pPr>
        <w:pStyle w:val="0"/>
        <w:kinsoku w:val="0"/>
        <w:wordWrap w:val="0"/>
        <w:overflowPunct w:val="1"/>
        <w:autoSpaceDE w:val="0"/>
        <w:autoSpaceDN w:val="0"/>
        <w:ind w:left="640" w:leftChars="20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オ　役員等が暴力団、又は暴力団員と社会的に非難されるべき関係を有していると認められるとき。</w:t>
      </w:r>
    </w:p>
    <w:p>
      <w:pPr>
        <w:pStyle w:val="0"/>
        <w:kinsoku w:val="0"/>
        <w:wordWrap w:val="0"/>
        <w:overflowPunct w:val="1"/>
        <w:autoSpaceDE w:val="0"/>
        <w:autoSpaceDN w:val="0"/>
        <w:ind w:left="640" w:leftChars="20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カ　営業活動に係る必要な契約の締結に当たり、その相手方がアからオまでのいずれかに該当することを知りながら、当該相手方と契約を締結したと認められるとき。</w:t>
      </w:r>
    </w:p>
    <w:p>
      <w:pPr>
        <w:pStyle w:val="0"/>
        <w:kinsoku w:val="0"/>
        <w:wordWrap w:val="0"/>
        <w:overflowPunct w:val="1"/>
        <w:autoSpaceDE w:val="0"/>
        <w:autoSpaceDN w:val="0"/>
        <w:ind w:left="0" w:leftChars="0" w:hanging="44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（６）無差別大量殺人行為を行った団体の規制に関する法律（平成</w:t>
      </w:r>
      <w:r>
        <w:rPr>
          <w:rFonts w:hint="eastAsia" w:ascii="ＭＳ 明朝" w:hAnsi="ＭＳ 明朝" w:eastAsia="ＭＳ 明朝"/>
          <w:color w:val="auto"/>
          <w:sz w:val="22"/>
          <w:highlight w:val="none"/>
        </w:rPr>
        <w:t>11</w:t>
      </w:r>
      <w:r>
        <w:rPr>
          <w:rFonts w:hint="eastAsia" w:ascii="ＭＳ 明朝" w:hAnsi="ＭＳ 明朝" w:eastAsia="ＭＳ 明朝"/>
          <w:color w:val="auto"/>
          <w:sz w:val="22"/>
          <w:highlight w:val="none"/>
        </w:rPr>
        <w:t>年法律第</w:t>
      </w:r>
      <w:r>
        <w:rPr>
          <w:rFonts w:hint="eastAsia" w:ascii="ＭＳ 明朝" w:hAnsi="ＭＳ 明朝" w:eastAsia="ＭＳ 明朝"/>
          <w:color w:val="auto"/>
          <w:sz w:val="22"/>
          <w:highlight w:val="none"/>
        </w:rPr>
        <w:t>147</w:t>
      </w:r>
      <w:r>
        <w:rPr>
          <w:rFonts w:hint="eastAsia" w:ascii="ＭＳ 明朝" w:hAnsi="ＭＳ 明朝" w:eastAsia="ＭＳ 明朝"/>
          <w:color w:val="auto"/>
          <w:sz w:val="22"/>
          <w:highlight w:val="none"/>
        </w:rPr>
        <w:t>号）第５条及び第８条に規定する処分を受けている団体、又はその構成員の統制の下にある団体ではないこと。</w:t>
      </w:r>
    </w:p>
    <w:p>
      <w:pPr>
        <w:pStyle w:val="0"/>
        <w:kinsoku w:val="0"/>
        <w:wordWrap w:val="0"/>
        <w:overflowPunct w:val="1"/>
        <w:autoSpaceDE w:val="0"/>
        <w:autoSpaceDN w:val="0"/>
        <w:ind w:left="0" w:leftChars="0" w:hanging="44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（７）公共の安全及び福祉を脅かすおそれのある団体、又は公共の安全及び福祉を脅かすおそれのある団体に属する者に該当しないこと。</w:t>
      </w:r>
    </w:p>
    <w:p>
      <w:pPr>
        <w:pStyle w:val="0"/>
        <w:kinsoku w:val="0"/>
        <w:wordWrap w:val="0"/>
        <w:overflowPunct w:val="1"/>
        <w:autoSpaceDE w:val="0"/>
        <w:autoSpaceDN w:val="0"/>
        <w:ind w:leftChars="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（８）業務を一括再委託しないこと。</w:t>
      </w:r>
    </w:p>
    <w:p>
      <w:pPr>
        <w:pStyle w:val="0"/>
        <w:kinsoku w:val="0"/>
        <w:wordWrap w:val="0"/>
        <w:overflowPunct w:val="1"/>
        <w:autoSpaceDE w:val="0"/>
        <w:autoSpaceDN w:val="0"/>
        <w:rPr>
          <w:rFonts w:hint="eastAsia" w:ascii="ＭＳ 明朝" w:hAnsi="ＭＳ 明朝" w:eastAsia="ＭＳ 明朝"/>
          <w:color w:val="auto"/>
          <w:sz w:val="22"/>
          <w:highlight w:val="none"/>
        </w:rPr>
      </w:pP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５　質疑・回答</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本実施要領及び仕様書についての質問は、下記のとおり行うこと。</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（１）提出方法　</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ア　質問書（別記第１号様式）により、ＦＡＸ又は電子メールで送信すること。</w:t>
      </w:r>
    </w:p>
    <w:p>
      <w:pPr>
        <w:pStyle w:val="0"/>
        <w:kinsoku w:val="0"/>
        <w:wordWrap w:val="0"/>
        <w:overflowPunct w:val="1"/>
        <w:autoSpaceDE w:val="0"/>
        <w:autoSpaceDN w:val="0"/>
        <w:ind w:left="660" w:hanging="660" w:hangingChars="3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イ　送信後、電話にて到着の確認（開庁時間内）を行うこと。ただし、電話及び来庁による質問は一切受け付けない。</w:t>
      </w:r>
    </w:p>
    <w:p>
      <w:pPr>
        <w:pStyle w:val="0"/>
        <w:kinsoku w:val="0"/>
        <w:wordWrap w:val="0"/>
        <w:overflowPunct w:val="1"/>
        <w:autoSpaceDE w:val="0"/>
        <w:autoSpaceDN w:val="0"/>
        <w:ind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（２）期　　限　</w:t>
      </w:r>
    </w:p>
    <w:p>
      <w:pPr>
        <w:pStyle w:val="0"/>
        <w:kinsoku w:val="0"/>
        <w:wordWrap w:val="0"/>
        <w:overflowPunct w:val="1"/>
        <w:autoSpaceDE w:val="0"/>
        <w:autoSpaceDN w:val="0"/>
        <w:ind w:firstLine="660" w:firstLineChars="3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令和７年１月７日（火）　午後５時</w:t>
      </w:r>
      <w:r>
        <w:rPr>
          <w:rFonts w:hint="eastAsia" w:ascii="ＭＳ 明朝" w:hAnsi="ＭＳ 明朝" w:eastAsia="ＭＳ 明朝"/>
          <w:color w:val="auto"/>
          <w:sz w:val="22"/>
          <w:highlight w:val="none"/>
        </w:rPr>
        <w:t>00</w:t>
      </w:r>
      <w:r>
        <w:rPr>
          <w:rFonts w:hint="eastAsia" w:ascii="ＭＳ 明朝" w:hAnsi="ＭＳ 明朝" w:eastAsia="ＭＳ 明朝"/>
          <w:color w:val="auto"/>
          <w:sz w:val="22"/>
          <w:highlight w:val="none"/>
        </w:rPr>
        <w:t>分まで</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（３）提</w:t>
      </w:r>
      <w:r>
        <w:rPr>
          <w:rFonts w:hint="eastAsia" w:ascii="ＭＳ 明朝" w:hAnsi="ＭＳ 明朝" w:eastAsia="ＭＳ 明朝"/>
          <w:color w:val="auto"/>
          <w:sz w:val="22"/>
          <w:highlight w:val="none"/>
        </w:rPr>
        <w:t xml:space="preserve"> </w:t>
      </w:r>
      <w:r>
        <w:rPr>
          <w:rFonts w:hint="eastAsia" w:ascii="ＭＳ 明朝" w:hAnsi="ＭＳ 明朝" w:eastAsia="ＭＳ 明朝"/>
          <w:color w:val="auto"/>
          <w:sz w:val="22"/>
          <w:highlight w:val="none"/>
        </w:rPr>
        <w:t>出</w:t>
      </w:r>
      <w:r>
        <w:rPr>
          <w:rFonts w:hint="eastAsia" w:ascii="ＭＳ 明朝" w:hAnsi="ＭＳ 明朝" w:eastAsia="ＭＳ 明朝"/>
          <w:color w:val="auto"/>
          <w:sz w:val="22"/>
          <w:highlight w:val="none"/>
        </w:rPr>
        <w:t xml:space="preserve"> </w:t>
      </w:r>
      <w:r>
        <w:rPr>
          <w:rFonts w:hint="eastAsia" w:ascii="ＭＳ 明朝" w:hAnsi="ＭＳ 明朝" w:eastAsia="ＭＳ 明朝"/>
          <w:color w:val="auto"/>
          <w:sz w:val="22"/>
          <w:highlight w:val="none"/>
        </w:rPr>
        <w:t>先</w:t>
      </w:r>
    </w:p>
    <w:p>
      <w:pPr>
        <w:pStyle w:val="0"/>
        <w:kinsoku w:val="0"/>
        <w:wordWrap w:val="0"/>
        <w:overflowPunct w:val="1"/>
        <w:autoSpaceDE w:val="0"/>
        <w:autoSpaceDN w:val="0"/>
        <w:ind w:firstLine="660" w:firstLineChars="3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048-2492</w:t>
      </w:r>
      <w:r>
        <w:rPr>
          <w:rFonts w:hint="eastAsia" w:ascii="ＭＳ 明朝" w:hAnsi="ＭＳ 明朝" w:eastAsia="ＭＳ 明朝"/>
          <w:color w:val="auto"/>
          <w:sz w:val="22"/>
          <w:highlight w:val="none"/>
        </w:rPr>
        <w:t>　余市郡仁木町西町１丁目</w:t>
      </w:r>
      <w:r>
        <w:rPr>
          <w:rFonts w:hint="eastAsia" w:ascii="ＭＳ 明朝" w:hAnsi="ＭＳ 明朝" w:eastAsia="ＭＳ 明朝"/>
          <w:color w:val="auto"/>
          <w:sz w:val="22"/>
          <w:highlight w:val="none"/>
        </w:rPr>
        <w:t>36</w:t>
      </w:r>
      <w:r>
        <w:rPr>
          <w:rFonts w:hint="eastAsia" w:ascii="ＭＳ 明朝" w:hAnsi="ＭＳ 明朝" w:eastAsia="ＭＳ 明朝"/>
          <w:color w:val="auto"/>
          <w:sz w:val="22"/>
          <w:highlight w:val="none"/>
        </w:rPr>
        <w:t>番地１　仁木町産業課商工観光振興係</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電話</w:t>
      </w:r>
      <w:r>
        <w:rPr>
          <w:rFonts w:hint="eastAsia" w:ascii="ＭＳ 明朝" w:hAnsi="ＭＳ 明朝" w:eastAsia="ＭＳ 明朝"/>
          <w:color w:val="auto"/>
          <w:sz w:val="22"/>
          <w:highlight w:val="none"/>
        </w:rPr>
        <w:t>:0135-32-3951</w:t>
      </w:r>
      <w:r>
        <w:rPr>
          <w:rFonts w:hint="eastAsia" w:ascii="ＭＳ 明朝" w:hAnsi="ＭＳ 明朝" w:eastAsia="ＭＳ 明朝"/>
          <w:color w:val="auto"/>
          <w:sz w:val="22"/>
          <w:highlight w:val="none"/>
        </w:rPr>
        <w:t>　</w:t>
      </w:r>
      <w:r>
        <w:rPr>
          <w:rFonts w:hint="eastAsia" w:ascii="ＭＳ 明朝" w:hAnsi="ＭＳ 明朝" w:eastAsia="ＭＳ 明朝"/>
          <w:color w:val="auto"/>
          <w:sz w:val="22"/>
          <w:highlight w:val="none"/>
        </w:rPr>
        <w:t>FAX:0135-32-2648</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r>
        <w:rPr>
          <w:rFonts w:hint="eastAsia" w:ascii="ＭＳ 明朝" w:hAnsi="ＭＳ 明朝" w:eastAsia="ＭＳ 明朝"/>
          <w:color w:val="auto"/>
          <w:spacing w:val="1"/>
          <w:w w:val="66"/>
          <w:kern w:val="0"/>
          <w:sz w:val="22"/>
          <w:highlight w:val="none"/>
          <w:fitText w:val="440" w:id="1"/>
        </w:rPr>
        <w:t>メール</w:t>
      </w:r>
      <w:r>
        <w:rPr>
          <w:rFonts w:hint="eastAsia" w:ascii="ＭＳ 明朝" w:hAnsi="ＭＳ 明朝" w:eastAsia="ＭＳ 明朝"/>
          <w:color w:val="auto"/>
          <w:sz w:val="22"/>
          <w:highlight w:val="none"/>
        </w:rPr>
        <w:t>:syoukou02-niki@town.niki.hokkaido.jp</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（４）回</w:t>
      </w:r>
      <w:r>
        <w:rPr>
          <w:rFonts w:hint="eastAsia" w:ascii="ＭＳ 明朝" w:hAnsi="ＭＳ 明朝" w:eastAsia="ＭＳ 明朝"/>
          <w:color w:val="auto"/>
          <w:sz w:val="22"/>
          <w:highlight w:val="none"/>
        </w:rPr>
        <w:t xml:space="preserve"> </w:t>
      </w:r>
      <w:r>
        <w:rPr>
          <w:rFonts w:hint="eastAsia" w:ascii="ＭＳ 明朝" w:hAnsi="ＭＳ 明朝" w:eastAsia="ＭＳ 明朝"/>
          <w:color w:val="auto"/>
          <w:sz w:val="22"/>
          <w:highlight w:val="none"/>
        </w:rPr>
        <w:t>答</w:t>
      </w:r>
      <w:r>
        <w:rPr>
          <w:rFonts w:hint="eastAsia" w:ascii="ＭＳ 明朝" w:hAnsi="ＭＳ 明朝" w:eastAsia="ＭＳ 明朝"/>
          <w:color w:val="auto"/>
          <w:sz w:val="22"/>
          <w:highlight w:val="none"/>
        </w:rPr>
        <w:t xml:space="preserve"> </w:t>
      </w:r>
      <w:r>
        <w:rPr>
          <w:rFonts w:hint="eastAsia" w:ascii="ＭＳ 明朝" w:hAnsi="ＭＳ 明朝" w:eastAsia="ＭＳ 明朝"/>
          <w:color w:val="auto"/>
          <w:sz w:val="22"/>
          <w:highlight w:val="none"/>
        </w:rPr>
        <w:t>日</w:t>
      </w:r>
    </w:p>
    <w:p>
      <w:pPr>
        <w:pStyle w:val="0"/>
        <w:kinsoku w:val="0"/>
        <w:wordWrap w:val="0"/>
        <w:overflowPunct w:val="1"/>
        <w:autoSpaceDE w:val="0"/>
        <w:autoSpaceDN w:val="0"/>
        <w:ind w:firstLine="660" w:firstLineChars="3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令和７年１月９日（木）予定</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（５）回答方法</w:t>
      </w:r>
    </w:p>
    <w:p>
      <w:pPr>
        <w:pStyle w:val="0"/>
        <w:kinsoku w:val="0"/>
        <w:wordWrap w:val="0"/>
        <w:overflowPunct w:val="1"/>
        <w:autoSpaceDE w:val="0"/>
        <w:autoSpaceDN w:val="0"/>
        <w:ind w:left="420" w:leftChars="200"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質問書（別記第１号様式）に記載のＦＡＸ又はメールアドレスに返信する。</w:t>
      </w:r>
    </w:p>
    <w:p>
      <w:pPr>
        <w:pStyle w:val="0"/>
        <w:kinsoku w:val="0"/>
        <w:wordWrap w:val="0"/>
        <w:overflowPunct w:val="1"/>
        <w:autoSpaceDE w:val="0"/>
        <w:autoSpaceDN w:val="0"/>
        <w:ind w:left="420" w:leftChars="200"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なお、回答は参加申込及び提案書等に関するもののみとし、審査（評価）に関する質問は一切受け付けない。</w:t>
      </w:r>
    </w:p>
    <w:p>
      <w:pPr>
        <w:pStyle w:val="0"/>
        <w:kinsoku w:val="0"/>
        <w:wordWrap w:val="0"/>
        <w:overflowPunct w:val="1"/>
        <w:autoSpaceDE w:val="0"/>
        <w:autoSpaceDN w:val="0"/>
        <w:ind w:left="420" w:leftChars="200"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また、質問の内容により、事業者の選定において公平性を保てないと判断した場合には、回答しないこととする。</w:t>
      </w:r>
    </w:p>
    <w:p>
      <w:pPr>
        <w:pStyle w:val="0"/>
        <w:kinsoku w:val="0"/>
        <w:wordWrap w:val="0"/>
        <w:overflowPunct w:val="1"/>
        <w:autoSpaceDE w:val="0"/>
        <w:autoSpaceDN w:val="0"/>
        <w:rPr>
          <w:rFonts w:hint="eastAsia" w:ascii="ＭＳ 明朝" w:hAnsi="ＭＳ 明朝" w:eastAsia="ＭＳ 明朝"/>
          <w:color w:val="auto"/>
          <w:sz w:val="22"/>
          <w:highlight w:val="none"/>
        </w:rPr>
      </w:pP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６　応募方法</w:t>
      </w:r>
    </w:p>
    <w:p>
      <w:pPr>
        <w:pStyle w:val="0"/>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（１）仕様書等の交付</w:t>
      </w:r>
    </w:p>
    <w:p>
      <w:pPr>
        <w:pStyle w:val="0"/>
        <w:ind w:left="0" w:leftChars="0" w:firstLine="660" w:firstLineChars="3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仕様書、各種様式の交付については、次のとおりとする。</w:t>
      </w:r>
    </w:p>
    <w:p>
      <w:pPr>
        <w:pStyle w:val="0"/>
        <w:ind w:firstLine="420" w:firstLineChars="2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ア　交付期間</w:t>
      </w:r>
    </w:p>
    <w:p>
      <w:pPr>
        <w:pStyle w:val="0"/>
        <w:ind w:firstLine="840" w:firstLineChars="4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令和６年</w:t>
      </w:r>
      <w:r>
        <w:rPr>
          <w:rFonts w:hint="eastAsia" w:ascii="ＭＳ 明朝" w:hAnsi="ＭＳ 明朝" w:eastAsia="ＭＳ 明朝"/>
          <w:color w:val="000000" w:themeColor="text1"/>
          <w:sz w:val="22"/>
          <w:highlight w:val="none"/>
        </w:rPr>
        <w:t>12</w:t>
      </w:r>
      <w:r>
        <w:rPr>
          <w:rFonts w:hint="eastAsia" w:ascii="ＭＳ 明朝" w:hAnsi="ＭＳ 明朝" w:eastAsia="ＭＳ 明朝"/>
          <w:color w:val="000000" w:themeColor="text1"/>
          <w:sz w:val="22"/>
          <w:highlight w:val="none"/>
        </w:rPr>
        <w:t>月</w:t>
      </w:r>
      <w:r>
        <w:rPr>
          <w:rFonts w:hint="eastAsia" w:ascii="ＭＳ 明朝" w:hAnsi="ＭＳ 明朝" w:eastAsia="ＭＳ 明朝"/>
          <w:color w:val="000000" w:themeColor="text1"/>
          <w:sz w:val="22"/>
          <w:highlight w:val="none"/>
        </w:rPr>
        <w:t>20</w:t>
      </w:r>
      <w:r>
        <w:rPr>
          <w:rFonts w:hint="eastAsia" w:ascii="ＭＳ 明朝" w:hAnsi="ＭＳ 明朝" w:eastAsia="ＭＳ 明朝"/>
          <w:color w:val="000000" w:themeColor="text1"/>
          <w:sz w:val="22"/>
          <w:highlight w:val="none"/>
        </w:rPr>
        <w:t>日（金）から令和７年１月</w:t>
      </w:r>
      <w:r>
        <w:rPr>
          <w:rFonts w:hint="eastAsia" w:ascii="ＭＳ 明朝" w:hAnsi="ＭＳ 明朝" w:eastAsia="ＭＳ 明朝"/>
          <w:color w:val="000000" w:themeColor="text1"/>
          <w:sz w:val="22"/>
          <w:highlight w:val="none"/>
        </w:rPr>
        <w:t>10</w:t>
      </w:r>
      <w:r>
        <w:rPr>
          <w:rFonts w:hint="eastAsia" w:ascii="ＭＳ 明朝" w:hAnsi="ＭＳ 明朝" w:eastAsia="ＭＳ 明朝"/>
          <w:color w:val="000000" w:themeColor="text1"/>
          <w:sz w:val="22"/>
          <w:highlight w:val="none"/>
        </w:rPr>
        <w:t>日（金）まで</w:t>
      </w:r>
    </w:p>
    <w:p>
      <w:pPr>
        <w:pStyle w:val="0"/>
        <w:ind w:firstLine="420" w:firstLineChars="2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イ　交付方法</w:t>
      </w:r>
    </w:p>
    <w:p>
      <w:pPr>
        <w:pStyle w:val="0"/>
        <w:ind w:firstLine="840" w:firstLineChars="4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仁木町ホームページにて</w:t>
      </w:r>
      <w:r>
        <w:rPr>
          <w:rFonts w:hint="eastAsia" w:ascii="ＭＳ 明朝" w:hAnsi="ＭＳ 明朝" w:eastAsia="ＭＳ 明朝"/>
          <w:strike w:val="0"/>
          <w:dstrike w:val="0"/>
          <w:color w:val="000000" w:themeColor="text1"/>
          <w:sz w:val="22"/>
          <w:highlight w:val="none"/>
        </w:rPr>
        <w:t>ダウンロード</w:t>
      </w:r>
      <w:r>
        <w:rPr>
          <w:rFonts w:hint="eastAsia" w:ascii="ＭＳ 明朝" w:hAnsi="ＭＳ 明朝" w:eastAsia="ＭＳ 明朝"/>
          <w:color w:val="000000" w:themeColor="text1"/>
          <w:sz w:val="22"/>
          <w:highlight w:val="none"/>
        </w:rPr>
        <w:t>すること。</w:t>
      </w:r>
    </w:p>
    <w:p>
      <w:pPr>
        <w:pStyle w:val="0"/>
        <w:ind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（２）参加表明書等の提出</w:t>
      </w:r>
    </w:p>
    <w:p>
      <w:pPr>
        <w:pStyle w:val="0"/>
        <w:ind w:left="0" w:leftChars="0" w:firstLine="660" w:firstLineChars="3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プロポーザルに参加しようとする者は、次に掲げる書類を提出すること。</w:t>
      </w:r>
    </w:p>
    <w:tbl>
      <w:tblPr>
        <w:tblStyle w:val="31"/>
        <w:tblW w:w="8804" w:type="dxa"/>
        <w:tblInd w:w="304" w:type="dxa"/>
        <w:tblLayout w:type="fixed"/>
        <w:tblLook w:firstRow="1" w:lastRow="0" w:firstColumn="1" w:lastColumn="0" w:noHBand="0" w:noVBand="1" w:val="04A0"/>
      </w:tblPr>
      <w:tblGrid>
        <w:gridCol w:w="446"/>
        <w:gridCol w:w="2778"/>
        <w:gridCol w:w="5580"/>
      </w:tblGrid>
      <w:tr>
        <w:trPr/>
        <w:tc>
          <w:tcPr>
            <w:tcW w:w="446" w:type="dxa"/>
            <w:vAlign w:val="center"/>
          </w:tcPr>
          <w:p>
            <w:pPr>
              <w:pStyle w:val="0"/>
              <w:jc w:val="center"/>
              <w:rPr>
                <w:rFonts w:hint="eastAsia" w:ascii="ＭＳ 明朝" w:hAnsi="ＭＳ 明朝" w:eastAsia="ＭＳ 明朝"/>
                <w:sz w:val="21"/>
                <w:highlight w:val="none"/>
              </w:rPr>
            </w:pPr>
            <w:r>
              <w:rPr>
                <w:rFonts w:hint="eastAsia" w:ascii="ＭＳ 明朝" w:hAnsi="ＭＳ 明朝" w:eastAsia="ＭＳ 明朝"/>
                <w:color w:val="000000" w:themeColor="text1"/>
                <w:sz w:val="21"/>
                <w:highlight w:val="none"/>
              </w:rPr>
              <w:t>番号</w:t>
            </w:r>
          </w:p>
        </w:tc>
        <w:tc>
          <w:tcPr>
            <w:tcW w:w="2778" w:type="dxa"/>
            <w:vAlign w:val="center"/>
          </w:tcPr>
          <w:p>
            <w:pPr>
              <w:pStyle w:val="0"/>
              <w:jc w:val="center"/>
              <w:rPr>
                <w:rFonts w:hint="eastAsia" w:ascii="ＭＳ 明朝" w:hAnsi="ＭＳ 明朝" w:eastAsia="ＭＳ 明朝"/>
                <w:sz w:val="21"/>
                <w:highlight w:val="none"/>
              </w:rPr>
            </w:pPr>
            <w:r>
              <w:rPr>
                <w:rFonts w:hint="eastAsia" w:ascii="ＭＳ 明朝" w:hAnsi="ＭＳ 明朝" w:eastAsia="ＭＳ 明朝"/>
                <w:color w:val="000000" w:themeColor="text1"/>
                <w:sz w:val="21"/>
                <w:highlight w:val="none"/>
              </w:rPr>
              <w:t>書類名</w:t>
            </w:r>
          </w:p>
        </w:tc>
        <w:tc>
          <w:tcPr>
            <w:tcW w:w="5580" w:type="dxa"/>
            <w:vAlign w:val="center"/>
          </w:tcPr>
          <w:p>
            <w:pPr>
              <w:pStyle w:val="0"/>
              <w:jc w:val="center"/>
              <w:rPr>
                <w:rFonts w:hint="eastAsia" w:ascii="ＭＳ 明朝" w:hAnsi="ＭＳ 明朝" w:eastAsia="ＭＳ 明朝"/>
                <w:sz w:val="21"/>
                <w:highlight w:val="none"/>
              </w:rPr>
            </w:pPr>
            <w:r>
              <w:rPr>
                <w:rFonts w:hint="eastAsia" w:ascii="ＭＳ 明朝" w:hAnsi="ＭＳ 明朝" w:eastAsia="ＭＳ 明朝"/>
                <w:color w:val="000000" w:themeColor="text1"/>
                <w:sz w:val="21"/>
                <w:highlight w:val="none"/>
              </w:rPr>
              <w:t>注　意　事　項</w:t>
            </w:r>
          </w:p>
        </w:tc>
      </w:tr>
      <w:tr>
        <w:trPr>
          <w:trHeight w:val="1070" w:hRule="atLeast"/>
        </w:trPr>
        <w:tc>
          <w:tcPr>
            <w:tcW w:w="446" w:type="dxa"/>
            <w:vAlign w:val="center"/>
          </w:tcPr>
          <w:p>
            <w:pPr>
              <w:pStyle w:val="0"/>
              <w:jc w:val="center"/>
              <w:rPr>
                <w:rFonts w:hint="eastAsia" w:ascii="ＭＳ 明朝" w:hAnsi="ＭＳ 明朝" w:eastAsia="ＭＳ 明朝"/>
                <w:sz w:val="21"/>
                <w:highlight w:val="none"/>
              </w:rPr>
            </w:pPr>
            <w:r>
              <w:rPr>
                <w:rFonts w:hint="eastAsia" w:ascii="ＭＳ 明朝" w:hAnsi="ＭＳ 明朝" w:eastAsia="ＭＳ 明朝"/>
                <w:color w:val="000000" w:themeColor="text1"/>
                <w:sz w:val="21"/>
                <w:highlight w:val="none"/>
              </w:rPr>
              <w:t>①</w:t>
            </w:r>
          </w:p>
        </w:tc>
        <w:tc>
          <w:tcPr>
            <w:tcW w:w="2778" w:type="dxa"/>
            <w:vAlign w:val="center"/>
          </w:tcPr>
          <w:p>
            <w:pPr>
              <w:pStyle w:val="0"/>
              <w:jc w:val="left"/>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公募型プロポーザル</w:t>
            </w:r>
          </w:p>
          <w:p>
            <w:pPr>
              <w:pStyle w:val="0"/>
              <w:jc w:val="left"/>
              <w:rPr>
                <w:rFonts w:hint="eastAsia" w:ascii="ＭＳ 明朝" w:hAnsi="ＭＳ 明朝" w:eastAsia="ＭＳ 明朝"/>
                <w:sz w:val="21"/>
                <w:highlight w:val="none"/>
              </w:rPr>
            </w:pPr>
            <w:r>
              <w:rPr>
                <w:rFonts w:hint="eastAsia" w:ascii="ＭＳ 明朝" w:hAnsi="ＭＳ 明朝" w:eastAsia="ＭＳ 明朝"/>
                <w:color w:val="000000" w:themeColor="text1"/>
                <w:sz w:val="21"/>
                <w:highlight w:val="none"/>
              </w:rPr>
              <w:t>参加表明書</w:t>
            </w: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sz w:val="21"/>
                <w:highlight w:val="none"/>
              </w:rPr>
              <w:t>第１号様式</w:t>
            </w:r>
            <w:r>
              <w:rPr>
                <w:rFonts w:hint="eastAsia" w:ascii="ＭＳ 明朝" w:hAnsi="ＭＳ 明朝" w:eastAsia="ＭＳ 明朝"/>
                <w:color w:val="000000" w:themeColor="text1"/>
                <w:sz w:val="21"/>
                <w:highlight w:val="none"/>
              </w:rPr>
              <w:t>)</w:t>
            </w:r>
          </w:p>
        </w:tc>
        <w:tc>
          <w:tcPr>
            <w:tcW w:w="5580" w:type="dxa"/>
            <w:vAlign w:val="center"/>
          </w:tcPr>
          <w:p>
            <w:pPr>
              <w:pStyle w:val="0"/>
              <w:ind w:leftChars="0" w:firstLine="0" w:firstLineChars="0"/>
              <w:rPr>
                <w:rFonts w:hint="eastAsia" w:ascii="ＭＳ 明朝" w:hAnsi="ＭＳ 明朝" w:eastAsia="ＭＳ 明朝"/>
                <w:sz w:val="21"/>
                <w:highlight w:val="none"/>
              </w:rPr>
            </w:pPr>
            <w:r>
              <w:rPr>
                <w:rFonts w:hint="eastAsia" w:ascii="ＭＳ 明朝" w:hAnsi="ＭＳ 明朝" w:eastAsia="ＭＳ 明朝"/>
                <w:color w:val="000000" w:themeColor="text1"/>
                <w:sz w:val="21"/>
                <w:highlight w:val="none"/>
              </w:rPr>
              <w:t>ホームページより記載様式をダウンロードして、様式に従い記載すること。</w:t>
            </w:r>
          </w:p>
        </w:tc>
      </w:tr>
      <w:tr>
        <w:trPr>
          <w:trHeight w:val="870" w:hRule="atLeast"/>
        </w:trPr>
        <w:tc>
          <w:tcPr>
            <w:tcW w:w="446" w:type="dxa"/>
            <w:vAlign w:val="center"/>
          </w:tcPr>
          <w:p>
            <w:pPr>
              <w:pStyle w:val="0"/>
              <w:jc w:val="center"/>
              <w:rPr>
                <w:rFonts w:hint="eastAsia" w:ascii="ＭＳ 明朝" w:hAnsi="ＭＳ 明朝" w:eastAsia="ＭＳ 明朝"/>
                <w:sz w:val="21"/>
                <w:highlight w:val="none"/>
              </w:rPr>
            </w:pPr>
            <w:r>
              <w:rPr>
                <w:rFonts w:hint="eastAsia" w:ascii="ＭＳ 明朝" w:hAnsi="ＭＳ 明朝" w:eastAsia="ＭＳ 明朝"/>
                <w:color w:val="000000" w:themeColor="text1"/>
                <w:sz w:val="21"/>
                <w:highlight w:val="none"/>
              </w:rPr>
              <w:t>②</w:t>
            </w:r>
          </w:p>
        </w:tc>
        <w:tc>
          <w:tcPr>
            <w:tcW w:w="2778" w:type="dxa"/>
            <w:vAlign w:val="center"/>
          </w:tcPr>
          <w:p>
            <w:pPr>
              <w:pStyle w:val="0"/>
              <w:jc w:val="left"/>
              <w:rPr>
                <w:rFonts w:hint="eastAsia" w:ascii="ＭＳ 明朝" w:hAnsi="ＭＳ 明朝" w:eastAsia="ＭＳ 明朝"/>
                <w:sz w:val="21"/>
                <w:highlight w:val="none"/>
              </w:rPr>
            </w:pPr>
            <w:r>
              <w:rPr>
                <w:rFonts w:hint="eastAsia" w:ascii="ＭＳ 明朝" w:hAnsi="ＭＳ 明朝" w:eastAsia="ＭＳ 明朝"/>
                <w:color w:val="000000" w:themeColor="text1"/>
                <w:sz w:val="21"/>
                <w:highlight w:val="none"/>
              </w:rPr>
              <w:t>提案書</w:t>
            </w: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sz w:val="21"/>
                <w:highlight w:val="none"/>
              </w:rPr>
              <w:t>第６号様式</w:t>
            </w:r>
            <w:r>
              <w:rPr>
                <w:rFonts w:hint="eastAsia" w:ascii="ＭＳ 明朝" w:hAnsi="ＭＳ 明朝" w:eastAsia="ＭＳ 明朝"/>
                <w:color w:val="000000" w:themeColor="text1"/>
                <w:sz w:val="21"/>
                <w:highlight w:val="none"/>
              </w:rPr>
              <w:t>)</w:t>
            </w:r>
          </w:p>
        </w:tc>
        <w:tc>
          <w:tcPr>
            <w:tcW w:w="5580" w:type="dxa"/>
            <w:vAlign w:val="center"/>
          </w:tcPr>
          <w:p>
            <w:pPr>
              <w:pStyle w:val="0"/>
              <w:ind w:leftChars="0" w:firstLine="0" w:firstLineChars="0"/>
              <w:rPr>
                <w:rFonts w:hint="eastAsia" w:ascii="ＭＳ 明朝" w:hAnsi="ＭＳ 明朝" w:eastAsia="ＭＳ 明朝"/>
                <w:sz w:val="21"/>
                <w:highlight w:val="none"/>
              </w:rPr>
            </w:pPr>
            <w:r>
              <w:rPr>
                <w:rFonts w:hint="eastAsia" w:ascii="ＭＳ 明朝" w:hAnsi="ＭＳ 明朝" w:eastAsia="ＭＳ 明朝"/>
                <w:color w:val="000000" w:themeColor="text1"/>
                <w:sz w:val="21"/>
                <w:highlight w:val="none"/>
              </w:rPr>
              <w:t>ホームページより記載様式をダウンロードして、様式に従い記載すること。</w:t>
            </w:r>
          </w:p>
        </w:tc>
      </w:tr>
      <w:tr>
        <w:trPr/>
        <w:tc>
          <w:tcPr>
            <w:tcW w:w="446" w:type="dxa"/>
            <w:vAlign w:val="center"/>
          </w:tcPr>
          <w:p>
            <w:pPr>
              <w:pStyle w:val="0"/>
              <w:jc w:val="center"/>
              <w:rPr>
                <w:rFonts w:hint="eastAsia" w:ascii="ＭＳ 明朝" w:hAnsi="ＭＳ 明朝" w:eastAsia="ＭＳ 明朝"/>
                <w:sz w:val="21"/>
                <w:highlight w:val="none"/>
              </w:rPr>
            </w:pPr>
            <w:r>
              <w:rPr>
                <w:rFonts w:hint="eastAsia" w:ascii="ＭＳ 明朝" w:hAnsi="ＭＳ 明朝" w:eastAsia="ＭＳ 明朝"/>
                <w:color w:val="000000" w:themeColor="text1"/>
                <w:sz w:val="21"/>
                <w:highlight w:val="none"/>
              </w:rPr>
              <w:t>③</w:t>
            </w:r>
          </w:p>
        </w:tc>
        <w:tc>
          <w:tcPr>
            <w:tcW w:w="2778" w:type="dxa"/>
            <w:vAlign w:val="center"/>
          </w:tcPr>
          <w:p>
            <w:pPr>
              <w:pStyle w:val="0"/>
              <w:jc w:val="left"/>
              <w:rPr>
                <w:rFonts w:hint="eastAsia" w:ascii="ＭＳ 明朝" w:hAnsi="ＭＳ 明朝" w:eastAsia="ＭＳ 明朝"/>
                <w:sz w:val="21"/>
                <w:highlight w:val="none"/>
              </w:rPr>
            </w:pPr>
            <w:r>
              <w:rPr>
                <w:rFonts w:hint="eastAsia" w:ascii="ＭＳ 明朝" w:hAnsi="ＭＳ 明朝" w:eastAsia="ＭＳ 明朝"/>
                <w:color w:val="000000" w:themeColor="text1"/>
                <w:sz w:val="21"/>
                <w:highlight w:val="none"/>
              </w:rPr>
              <w:t>企画提案説明書</w:t>
            </w: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sz w:val="21"/>
                <w:highlight w:val="none"/>
              </w:rPr>
              <w:t>任意様式</w:t>
            </w:r>
            <w:r>
              <w:rPr>
                <w:rFonts w:hint="eastAsia" w:ascii="ＭＳ 明朝" w:hAnsi="ＭＳ 明朝" w:eastAsia="ＭＳ 明朝"/>
                <w:color w:val="000000" w:themeColor="text1"/>
                <w:sz w:val="21"/>
                <w:highlight w:val="none"/>
              </w:rPr>
              <w:t>)</w:t>
            </w:r>
          </w:p>
        </w:tc>
        <w:tc>
          <w:tcPr>
            <w:tcW w:w="5580" w:type="dxa"/>
            <w:vAlign w:val="center"/>
          </w:tcPr>
          <w:p>
            <w:pPr>
              <w:pStyle w:val="0"/>
              <w:ind w:leftChars="0" w:firstLine="0" w:firstLineChars="0"/>
              <w:rPr>
                <w:rFonts w:hint="eastAsia" w:ascii="ＭＳ 明朝" w:hAnsi="ＭＳ 明朝" w:eastAsia="ＭＳ 明朝"/>
                <w:sz w:val="21"/>
                <w:highlight w:val="none"/>
              </w:rPr>
            </w:pPr>
            <w:r>
              <w:rPr>
                <w:rFonts w:hint="eastAsia" w:ascii="ＭＳ 明朝" w:hAnsi="ＭＳ 明朝" w:eastAsia="ＭＳ 明朝"/>
                <w:color w:val="000000" w:themeColor="text1"/>
                <w:sz w:val="21"/>
                <w:highlight w:val="none"/>
              </w:rPr>
              <w:t>②提案書の記載事項について、</w:t>
            </w:r>
            <w:r>
              <w:rPr>
                <w:rFonts w:hint="eastAsia" w:ascii="ＭＳ 明朝" w:hAnsi="ＭＳ 明朝" w:eastAsia="ＭＳ 明朝"/>
                <w:color w:val="000000" w:themeColor="text1"/>
                <w:sz w:val="21"/>
                <w:highlight w:val="none"/>
              </w:rPr>
              <w:t>A4</w:t>
            </w:r>
            <w:r>
              <w:rPr>
                <w:rFonts w:hint="eastAsia" w:ascii="ＭＳ 明朝" w:hAnsi="ＭＳ 明朝" w:eastAsia="ＭＳ 明朝"/>
                <w:color w:val="000000" w:themeColor="text1"/>
                <w:sz w:val="21"/>
                <w:highlight w:val="none"/>
              </w:rPr>
              <w:t>（縦又は横で統一）で作成すること。なお、</w:t>
            </w:r>
            <w:r>
              <w:rPr>
                <w:rFonts w:hint="eastAsia" w:asciiTheme="minorEastAsia" w:hAnsiTheme="minorEastAsia" w:eastAsiaTheme="minorEastAsia"/>
                <w:color w:val="auto"/>
                <w:sz w:val="22"/>
                <w:highlight w:val="none"/>
              </w:rPr>
              <w:t>デザイン・形状・寸法・立面（イメージ図）及び設置方法を記載すること。</w:t>
            </w:r>
          </w:p>
        </w:tc>
      </w:tr>
      <w:tr>
        <w:trPr/>
        <w:tc>
          <w:tcPr>
            <w:tcW w:w="446" w:type="dxa"/>
            <w:vAlign w:val="center"/>
          </w:tcPr>
          <w:p>
            <w:pPr>
              <w:pStyle w:val="0"/>
              <w:jc w:val="center"/>
              <w:rPr>
                <w:rFonts w:hint="eastAsia" w:ascii="ＭＳ 明朝" w:hAnsi="ＭＳ 明朝" w:eastAsia="ＭＳ 明朝"/>
                <w:sz w:val="21"/>
                <w:highlight w:val="none"/>
              </w:rPr>
            </w:pPr>
            <w:r>
              <w:rPr>
                <w:rFonts w:hint="eastAsia" w:ascii="ＭＳ 明朝" w:hAnsi="ＭＳ 明朝" w:eastAsia="ＭＳ 明朝"/>
                <w:color w:val="000000" w:themeColor="text1"/>
                <w:sz w:val="21"/>
                <w:highlight w:val="none"/>
              </w:rPr>
              <w:t>④</w:t>
            </w:r>
          </w:p>
        </w:tc>
        <w:tc>
          <w:tcPr>
            <w:tcW w:w="2778" w:type="dxa"/>
            <w:vAlign w:val="center"/>
          </w:tcPr>
          <w:p>
            <w:pPr>
              <w:pStyle w:val="0"/>
              <w:jc w:val="left"/>
              <w:rPr>
                <w:rFonts w:hint="eastAsia" w:ascii="ＭＳ 明朝" w:hAnsi="ＭＳ 明朝" w:eastAsia="ＭＳ 明朝"/>
                <w:sz w:val="21"/>
                <w:highlight w:val="none"/>
              </w:rPr>
            </w:pPr>
            <w:r>
              <w:rPr>
                <w:rFonts w:hint="eastAsia" w:ascii="ＭＳ 明朝" w:hAnsi="ＭＳ 明朝" w:eastAsia="ＭＳ 明朝"/>
                <w:sz w:val="21"/>
                <w:highlight w:val="none"/>
              </w:rPr>
              <w:t>実施体制図</w:t>
            </w: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sz w:val="21"/>
                <w:highlight w:val="none"/>
              </w:rPr>
              <w:t>任意様式</w:t>
            </w:r>
            <w:r>
              <w:rPr>
                <w:rFonts w:hint="eastAsia" w:ascii="ＭＳ 明朝" w:hAnsi="ＭＳ 明朝" w:eastAsia="ＭＳ 明朝"/>
                <w:color w:val="000000" w:themeColor="text1"/>
                <w:sz w:val="21"/>
                <w:highlight w:val="none"/>
              </w:rPr>
              <w:t>)</w:t>
            </w:r>
          </w:p>
        </w:tc>
        <w:tc>
          <w:tcPr>
            <w:tcW w:w="5580" w:type="dxa"/>
            <w:vAlign w:val="center"/>
          </w:tcPr>
          <w:p>
            <w:pPr>
              <w:pStyle w:val="0"/>
              <w:ind w:leftChars="0" w:firstLine="0" w:firstLineChars="0"/>
              <w:rPr>
                <w:rFonts w:hint="eastAsia" w:ascii="ＭＳ 明朝" w:hAnsi="ＭＳ 明朝" w:eastAsia="ＭＳ 明朝"/>
                <w:sz w:val="21"/>
                <w:highlight w:val="none"/>
              </w:rPr>
            </w:pPr>
            <w:r>
              <w:rPr>
                <w:rFonts w:hint="eastAsia" w:ascii="ＭＳ 明朝" w:hAnsi="ＭＳ 明朝" w:eastAsia="ＭＳ 明朝"/>
                <w:color w:val="000000" w:themeColor="text1"/>
                <w:sz w:val="21"/>
                <w:highlight w:val="none"/>
              </w:rPr>
              <w:t>②提案書の記載事項について、</w:t>
            </w:r>
            <w:r>
              <w:rPr>
                <w:rFonts w:hint="eastAsia" w:ascii="ＭＳ 明朝" w:hAnsi="ＭＳ 明朝" w:eastAsia="ＭＳ 明朝"/>
                <w:sz w:val="21"/>
                <w:highlight w:val="none"/>
              </w:rPr>
              <w:t>実施体制図並びに本業務の責任者及び従業者についての職務経歴を</w:t>
            </w:r>
            <w:r>
              <w:rPr>
                <w:rFonts w:hint="eastAsia" w:ascii="ＭＳ 明朝" w:hAnsi="ＭＳ 明朝" w:eastAsia="ＭＳ 明朝"/>
                <w:color w:val="000000" w:themeColor="text1"/>
                <w:sz w:val="21"/>
                <w:highlight w:val="none"/>
              </w:rPr>
              <w:t>A4</w:t>
            </w:r>
            <w:r>
              <w:rPr>
                <w:rFonts w:hint="eastAsia" w:ascii="ＭＳ 明朝" w:hAnsi="ＭＳ 明朝" w:eastAsia="ＭＳ 明朝"/>
                <w:color w:val="000000" w:themeColor="text1"/>
                <w:sz w:val="21"/>
                <w:highlight w:val="none"/>
              </w:rPr>
              <w:t>（縦又は横で統一）で作成すること。</w:t>
            </w:r>
          </w:p>
        </w:tc>
      </w:tr>
      <w:tr>
        <w:trPr/>
        <w:tc>
          <w:tcPr>
            <w:tcW w:w="446" w:type="dxa"/>
            <w:vAlign w:val="center"/>
          </w:tcPr>
          <w:p>
            <w:pPr>
              <w:pStyle w:val="0"/>
              <w:jc w:val="center"/>
              <w:rPr>
                <w:rFonts w:hint="eastAsia" w:ascii="ＭＳ 明朝" w:hAnsi="ＭＳ 明朝" w:eastAsia="ＭＳ 明朝"/>
                <w:sz w:val="21"/>
                <w:highlight w:val="none"/>
              </w:rPr>
            </w:pPr>
            <w:r>
              <w:rPr>
                <w:rFonts w:hint="eastAsia" w:ascii="ＭＳ 明朝" w:hAnsi="ＭＳ 明朝" w:eastAsia="ＭＳ 明朝"/>
                <w:color w:val="000000" w:themeColor="text1"/>
                <w:sz w:val="21"/>
                <w:highlight w:val="none"/>
              </w:rPr>
              <w:t>⑤</w:t>
            </w:r>
          </w:p>
        </w:tc>
        <w:tc>
          <w:tcPr>
            <w:tcW w:w="2778" w:type="dxa"/>
            <w:vAlign w:val="center"/>
          </w:tcPr>
          <w:p>
            <w:pPr>
              <w:pStyle w:val="0"/>
              <w:jc w:val="left"/>
              <w:rPr>
                <w:rFonts w:hint="eastAsia" w:ascii="ＭＳ 明朝" w:hAnsi="ＭＳ 明朝" w:eastAsia="ＭＳ 明朝"/>
                <w:sz w:val="21"/>
                <w:highlight w:val="none"/>
              </w:rPr>
            </w:pPr>
            <w:r>
              <w:rPr>
                <w:rFonts w:hint="eastAsia" w:ascii="ＭＳ 明朝" w:hAnsi="ＭＳ 明朝" w:eastAsia="ＭＳ 明朝"/>
                <w:color w:val="000000" w:themeColor="text1"/>
                <w:sz w:val="21"/>
                <w:highlight w:val="none"/>
              </w:rPr>
              <w:t>見積書</w:t>
            </w: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sz w:val="21"/>
                <w:highlight w:val="none"/>
              </w:rPr>
              <w:t>任意様式</w:t>
            </w:r>
            <w:r>
              <w:rPr>
                <w:rFonts w:hint="eastAsia" w:ascii="ＭＳ 明朝" w:hAnsi="ＭＳ 明朝" w:eastAsia="ＭＳ 明朝"/>
                <w:color w:val="000000" w:themeColor="text1"/>
                <w:sz w:val="21"/>
                <w:highlight w:val="none"/>
              </w:rPr>
              <w:t>)</w:t>
            </w:r>
          </w:p>
        </w:tc>
        <w:tc>
          <w:tcPr>
            <w:tcW w:w="5580" w:type="dxa"/>
            <w:vAlign w:val="center"/>
          </w:tcPr>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税抜とすること。</w:t>
            </w:r>
          </w:p>
        </w:tc>
      </w:tr>
    </w:tbl>
    <w:p>
      <w:pPr>
        <w:pStyle w:val="0"/>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p>
    <w:p>
      <w:pPr>
        <w:pStyle w:val="0"/>
        <w:ind w:left="650" w:leftChars="100" w:hanging="440" w:hangingChars="2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ア　①の書類を提出後、公募型プロポーザル参加資格確認通知書の通知を受けたのち　　　「②～⑤」の書類を提出するものとする。</w:t>
      </w:r>
    </w:p>
    <w:p>
      <w:pPr>
        <w:pStyle w:val="0"/>
        <w:ind w:left="640" w:leftChars="200" w:hanging="220" w:hangingChars="1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イ　②の提案書については、③企画提案説明書（実施要領・仕様書を参考にして、専門用語などは必要に応じて注釈を付し、わかりやすく記載すること）、④実施体制図を添付すること。</w:t>
      </w:r>
    </w:p>
    <w:p>
      <w:pPr>
        <w:pStyle w:val="0"/>
        <w:kinsoku w:val="0"/>
        <w:wordWrap w:val="0"/>
        <w:overflowPunct w:val="1"/>
        <w:autoSpaceDE w:val="0"/>
        <w:autoSpaceDN w:val="0"/>
        <w:ind w:left="630" w:leftChars="300" w:firstLine="220" w:firstLineChars="100"/>
        <w:rPr>
          <w:rFonts w:hint="eastAsia" w:ascii="ＭＳ 明朝" w:hAnsi="ＭＳ 明朝" w:eastAsia="ＭＳ 明朝"/>
          <w:color w:val="auto"/>
          <w:sz w:val="22"/>
          <w:highlight w:val="none"/>
        </w:rPr>
      </w:pPr>
      <w:r>
        <w:rPr>
          <w:rFonts w:hint="eastAsia" w:ascii="ＭＳ 明朝" w:hAnsi="ＭＳ 明朝" w:eastAsia="ＭＳ 明朝"/>
          <w:sz w:val="22"/>
          <w:highlight w:val="none"/>
        </w:rPr>
        <w:t>提出部数は</w:t>
      </w:r>
      <w:r>
        <w:rPr>
          <w:rFonts w:hint="eastAsia" w:ascii="ＭＳ 明朝" w:hAnsi="ＭＳ 明朝" w:eastAsia="ＭＳ 明朝"/>
          <w:sz w:val="22"/>
          <w:highlight w:val="none"/>
        </w:rPr>
        <w:t>10</w:t>
      </w:r>
      <w:r>
        <w:rPr>
          <w:rFonts w:hint="eastAsia" w:ascii="ＭＳ 明朝" w:hAnsi="ＭＳ 明朝" w:eastAsia="ＭＳ 明朝"/>
          <w:sz w:val="22"/>
          <w:highlight w:val="none"/>
        </w:rPr>
        <w:t>部（正本１部、副本９部）とし、正本１部、副本１部のみ余白に会社名等を記入すること（副本８部については、会社名等を除くこと）。</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（３）提出期限</w:t>
      </w:r>
    </w:p>
    <w:p>
      <w:pPr>
        <w:pStyle w:val="0"/>
        <w:kinsoku w:val="0"/>
        <w:wordWrap w:val="0"/>
        <w:overflowPunct w:val="1"/>
        <w:autoSpaceDE w:val="0"/>
        <w:autoSpaceDN w:val="0"/>
        <w:ind w:firstLine="660" w:firstLineChars="3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①　　　令和７年１月</w:t>
      </w:r>
      <w:r>
        <w:rPr>
          <w:rFonts w:hint="eastAsia" w:ascii="ＭＳ 明朝" w:hAnsi="ＭＳ 明朝" w:eastAsia="ＭＳ 明朝"/>
          <w:color w:val="auto"/>
          <w:sz w:val="22"/>
          <w:highlight w:val="none"/>
        </w:rPr>
        <w:t>10</w:t>
      </w:r>
      <w:r>
        <w:rPr>
          <w:rFonts w:hint="eastAsia" w:ascii="ＭＳ 明朝" w:hAnsi="ＭＳ 明朝" w:eastAsia="ＭＳ 明朝"/>
          <w:color w:val="auto"/>
          <w:sz w:val="22"/>
          <w:highlight w:val="none"/>
        </w:rPr>
        <w:t>日（金）午後５時</w:t>
      </w:r>
      <w:r>
        <w:rPr>
          <w:rFonts w:hint="eastAsia" w:ascii="ＭＳ 明朝" w:hAnsi="ＭＳ 明朝" w:eastAsia="ＭＳ 明朝"/>
          <w:color w:val="auto"/>
          <w:sz w:val="22"/>
          <w:highlight w:val="none"/>
        </w:rPr>
        <w:t>00</w:t>
      </w:r>
      <w:r>
        <w:rPr>
          <w:rFonts w:hint="eastAsia" w:ascii="ＭＳ 明朝" w:hAnsi="ＭＳ 明朝" w:eastAsia="ＭＳ 明朝"/>
          <w:color w:val="auto"/>
          <w:sz w:val="22"/>
          <w:highlight w:val="none"/>
        </w:rPr>
        <w:t>分まで</w:t>
      </w:r>
    </w:p>
    <w:p>
      <w:pPr>
        <w:pStyle w:val="0"/>
        <w:kinsoku w:val="0"/>
        <w:wordWrap w:val="0"/>
        <w:overflowPunct w:val="1"/>
        <w:autoSpaceDE w:val="0"/>
        <w:autoSpaceDN w:val="0"/>
        <w:ind w:firstLine="660" w:firstLineChars="3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②～⑤　令和７年１月</w:t>
      </w:r>
      <w:r>
        <w:rPr>
          <w:rFonts w:hint="eastAsia" w:ascii="ＭＳ 明朝" w:hAnsi="ＭＳ 明朝" w:eastAsia="ＭＳ 明朝"/>
          <w:color w:val="auto"/>
          <w:sz w:val="22"/>
          <w:highlight w:val="none"/>
        </w:rPr>
        <w:t>20</w:t>
      </w:r>
      <w:r>
        <w:rPr>
          <w:rFonts w:hint="eastAsia" w:ascii="ＭＳ 明朝" w:hAnsi="ＭＳ 明朝" w:eastAsia="ＭＳ 明朝"/>
          <w:color w:val="auto"/>
          <w:sz w:val="22"/>
          <w:highlight w:val="none"/>
        </w:rPr>
        <w:t>日（金）午後５時</w:t>
      </w:r>
      <w:r>
        <w:rPr>
          <w:rFonts w:hint="eastAsia" w:ascii="ＭＳ 明朝" w:hAnsi="ＭＳ 明朝" w:eastAsia="ＭＳ 明朝"/>
          <w:color w:val="auto"/>
          <w:sz w:val="22"/>
          <w:highlight w:val="none"/>
        </w:rPr>
        <w:t>00</w:t>
      </w:r>
      <w:r>
        <w:rPr>
          <w:rFonts w:hint="eastAsia" w:ascii="ＭＳ 明朝" w:hAnsi="ＭＳ 明朝" w:eastAsia="ＭＳ 明朝"/>
          <w:color w:val="auto"/>
          <w:sz w:val="22"/>
          <w:highlight w:val="none"/>
        </w:rPr>
        <w:t>分まで</w:t>
      </w:r>
    </w:p>
    <w:p>
      <w:pPr>
        <w:pStyle w:val="0"/>
        <w:kinsoku w:val="0"/>
        <w:wordWrap w:val="0"/>
        <w:overflowPunct w:val="1"/>
        <w:autoSpaceDE w:val="0"/>
        <w:autoSpaceDN w:val="0"/>
        <w:ind w:left="660" w:hanging="660" w:hangingChars="3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（４）提出方法</w:t>
      </w:r>
    </w:p>
    <w:p>
      <w:pPr>
        <w:pStyle w:val="0"/>
        <w:kinsoku w:val="0"/>
        <w:wordWrap w:val="0"/>
        <w:overflowPunct w:val="1"/>
        <w:autoSpaceDE w:val="0"/>
        <w:autoSpaceDN w:val="0"/>
        <w:ind w:left="420" w:leftChars="200"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持参又は郵送による。持参の場合は、土・日・祝祭日を除く午前８時</w:t>
      </w:r>
      <w:r>
        <w:rPr>
          <w:rFonts w:hint="eastAsia" w:ascii="ＭＳ 明朝" w:hAnsi="ＭＳ 明朝" w:eastAsia="ＭＳ 明朝"/>
          <w:color w:val="auto"/>
          <w:sz w:val="22"/>
          <w:highlight w:val="none"/>
        </w:rPr>
        <w:t>30</w:t>
      </w:r>
      <w:r>
        <w:rPr>
          <w:rFonts w:hint="eastAsia" w:ascii="ＭＳ 明朝" w:hAnsi="ＭＳ 明朝" w:eastAsia="ＭＳ 明朝"/>
          <w:color w:val="auto"/>
          <w:sz w:val="22"/>
          <w:highlight w:val="none"/>
        </w:rPr>
        <w:t>分から午後５時までとする。郵送の場合は提出期限までに必着とし、郵便事故等については提出者のリスク負担とする。</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（５）提出先</w:t>
      </w:r>
    </w:p>
    <w:p>
      <w:pPr>
        <w:pStyle w:val="0"/>
        <w:kinsoku w:val="0"/>
        <w:wordWrap w:val="0"/>
        <w:overflowPunct w:val="1"/>
        <w:autoSpaceDE w:val="0"/>
        <w:autoSpaceDN w:val="0"/>
        <w:ind w:firstLine="660" w:firstLineChars="3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048-2492</w:t>
      </w:r>
      <w:r>
        <w:rPr>
          <w:rFonts w:hint="eastAsia" w:ascii="ＭＳ 明朝" w:hAnsi="ＭＳ 明朝" w:eastAsia="ＭＳ 明朝"/>
          <w:color w:val="auto"/>
          <w:sz w:val="22"/>
          <w:highlight w:val="none"/>
        </w:rPr>
        <w:t>　余市郡仁木町西町１丁目</w:t>
      </w:r>
      <w:r>
        <w:rPr>
          <w:rFonts w:hint="eastAsia" w:ascii="ＭＳ 明朝" w:hAnsi="ＭＳ 明朝" w:eastAsia="ＭＳ 明朝"/>
          <w:color w:val="auto"/>
          <w:sz w:val="22"/>
          <w:highlight w:val="none"/>
        </w:rPr>
        <w:t>36</w:t>
      </w:r>
      <w:r>
        <w:rPr>
          <w:rFonts w:hint="eastAsia" w:ascii="ＭＳ 明朝" w:hAnsi="ＭＳ 明朝" w:eastAsia="ＭＳ 明朝"/>
          <w:color w:val="auto"/>
          <w:sz w:val="22"/>
          <w:highlight w:val="none"/>
        </w:rPr>
        <w:t>番地１　仁木町産業課商工観光振興係</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７　審査方法</w:t>
      </w:r>
    </w:p>
    <w:p>
      <w:pPr>
        <w:pStyle w:val="0"/>
        <w:kinsoku w:val="0"/>
        <w:wordWrap w:val="0"/>
        <w:overflowPunct w:val="1"/>
        <w:autoSpaceDE w:val="0"/>
        <w:autoSpaceDN w:val="0"/>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本実施要領及び仕様書に基づき提出された提案書等について、企画提案者からのプレゼンテーションを実施後、仁木町プロポーザル選定委員会において内容の審査及び採点評価を実施し、企画提案者ごとに合計した点数が最も高い者を選定する。</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（１）プレゼンテーション実施予定日</w:t>
      </w:r>
    </w:p>
    <w:p>
      <w:pPr>
        <w:pStyle w:val="0"/>
        <w:kinsoku w:val="0"/>
        <w:wordWrap w:val="0"/>
        <w:overflowPunct w:val="1"/>
        <w:autoSpaceDE w:val="0"/>
        <w:autoSpaceDN w:val="0"/>
        <w:ind w:firstLine="660" w:firstLineChars="3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令和７年１月</w:t>
      </w:r>
      <w:r>
        <w:rPr>
          <w:rFonts w:hint="eastAsia" w:ascii="ＭＳ 明朝" w:hAnsi="ＭＳ 明朝" w:eastAsia="ＭＳ 明朝"/>
          <w:color w:val="auto"/>
          <w:sz w:val="22"/>
          <w:highlight w:val="none"/>
        </w:rPr>
        <w:t>24</w:t>
      </w:r>
      <w:r>
        <w:rPr>
          <w:rFonts w:hint="eastAsia" w:ascii="ＭＳ 明朝" w:hAnsi="ＭＳ 明朝" w:eastAsia="ＭＳ 明朝"/>
          <w:color w:val="auto"/>
          <w:sz w:val="22"/>
          <w:highlight w:val="none"/>
        </w:rPr>
        <w:t>日（金）（時間は別途通知）</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（２）実施場所</w:t>
      </w:r>
    </w:p>
    <w:p>
      <w:pPr>
        <w:pStyle w:val="0"/>
        <w:kinsoku w:val="0"/>
        <w:wordWrap w:val="0"/>
        <w:overflowPunct w:val="1"/>
        <w:autoSpaceDE w:val="0"/>
        <w:autoSpaceDN w:val="0"/>
        <w:ind w:firstLine="660" w:firstLineChars="3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048-2492</w:t>
      </w:r>
      <w:r>
        <w:rPr>
          <w:rFonts w:hint="eastAsia" w:ascii="ＭＳ 明朝" w:hAnsi="ＭＳ 明朝" w:eastAsia="ＭＳ 明朝"/>
          <w:color w:val="auto"/>
          <w:sz w:val="22"/>
          <w:highlight w:val="none"/>
        </w:rPr>
        <w:t>　余市郡仁木町西町１丁目</w:t>
      </w:r>
      <w:r>
        <w:rPr>
          <w:rFonts w:hint="eastAsia" w:ascii="ＭＳ 明朝" w:hAnsi="ＭＳ 明朝" w:eastAsia="ＭＳ 明朝"/>
          <w:color w:val="auto"/>
          <w:sz w:val="22"/>
          <w:highlight w:val="none"/>
        </w:rPr>
        <w:t>36</w:t>
      </w:r>
      <w:r>
        <w:rPr>
          <w:rFonts w:hint="eastAsia" w:ascii="ＭＳ 明朝" w:hAnsi="ＭＳ 明朝" w:eastAsia="ＭＳ 明朝"/>
          <w:color w:val="auto"/>
          <w:sz w:val="22"/>
          <w:highlight w:val="none"/>
        </w:rPr>
        <w:t>番地１</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仁木町役場２階　会議室２</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（３）提案及び質疑応答時間</w:t>
      </w:r>
    </w:p>
    <w:p>
      <w:pPr>
        <w:pStyle w:val="0"/>
        <w:kinsoku w:val="0"/>
        <w:wordWrap w:val="0"/>
        <w:overflowPunct w:val="1"/>
        <w:autoSpaceDE w:val="0"/>
        <w:autoSpaceDN w:val="0"/>
        <w:ind w:firstLine="660" w:firstLineChars="3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説明</w:t>
      </w:r>
      <w:r>
        <w:rPr>
          <w:rFonts w:hint="eastAsia" w:ascii="ＭＳ 明朝" w:hAnsi="ＭＳ 明朝" w:eastAsia="ＭＳ 明朝"/>
          <w:color w:val="auto"/>
          <w:sz w:val="22"/>
          <w:highlight w:val="none"/>
        </w:rPr>
        <w:t>20</w:t>
      </w:r>
      <w:r>
        <w:rPr>
          <w:rFonts w:hint="eastAsia" w:ascii="ＭＳ 明朝" w:hAnsi="ＭＳ 明朝" w:eastAsia="ＭＳ 明朝"/>
          <w:color w:val="auto"/>
          <w:sz w:val="22"/>
          <w:highlight w:val="none"/>
        </w:rPr>
        <w:t>分以内、質疑応答</w:t>
      </w:r>
      <w:r>
        <w:rPr>
          <w:rFonts w:hint="eastAsia" w:ascii="ＭＳ 明朝" w:hAnsi="ＭＳ 明朝" w:eastAsia="ＭＳ 明朝"/>
          <w:color w:val="auto"/>
          <w:sz w:val="22"/>
          <w:highlight w:val="none"/>
        </w:rPr>
        <w:t>10</w:t>
      </w:r>
      <w:r>
        <w:rPr>
          <w:rFonts w:hint="eastAsia" w:ascii="ＭＳ 明朝" w:hAnsi="ＭＳ 明朝" w:eastAsia="ＭＳ 明朝"/>
          <w:color w:val="auto"/>
          <w:sz w:val="22"/>
          <w:highlight w:val="none"/>
        </w:rPr>
        <w:t>分以内</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（４）参加人数</w:t>
      </w:r>
    </w:p>
    <w:p>
      <w:pPr>
        <w:pStyle w:val="0"/>
        <w:kinsoku w:val="0"/>
        <w:wordWrap w:val="0"/>
        <w:overflowPunct w:val="1"/>
        <w:autoSpaceDE w:val="0"/>
        <w:autoSpaceDN w:val="0"/>
        <w:ind w:firstLine="660" w:firstLineChars="3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３名以内</w:t>
      </w:r>
    </w:p>
    <w:p>
      <w:pPr>
        <w:pStyle w:val="0"/>
        <w:kinsoku w:val="0"/>
        <w:wordWrap w:val="0"/>
        <w:overflowPunct w:val="1"/>
        <w:autoSpaceDE w:val="0"/>
        <w:autoSpaceDN w:val="0"/>
        <w:ind w:leftChars="0" w:firstLine="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（５）使用機器</w:t>
      </w:r>
    </w:p>
    <w:p>
      <w:pPr>
        <w:pStyle w:val="0"/>
        <w:kinsoku w:val="0"/>
        <w:wordWrap w:val="0"/>
        <w:overflowPunct w:val="1"/>
        <w:autoSpaceDE w:val="0"/>
        <w:autoSpaceDN w:val="0"/>
        <w:ind w:left="0" w:leftChars="0" w:hanging="44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パソコン等は参加者が用意すること。なお、パソコンを使用する場合、電源、モニタ、</w:t>
      </w:r>
      <w:r>
        <w:rPr>
          <w:rFonts w:hint="eastAsia" w:ascii="ＭＳ 明朝" w:hAnsi="ＭＳ 明朝" w:eastAsia="ＭＳ 明朝"/>
          <w:color w:val="auto"/>
          <w:sz w:val="22"/>
          <w:highlight w:val="none"/>
        </w:rPr>
        <w:t>HDMI</w:t>
      </w:r>
      <w:r>
        <w:rPr>
          <w:rFonts w:hint="eastAsia" w:ascii="ＭＳ 明朝" w:hAnsi="ＭＳ 明朝" w:eastAsia="ＭＳ 明朝"/>
          <w:color w:val="auto"/>
          <w:sz w:val="22"/>
          <w:highlight w:val="none"/>
        </w:rPr>
        <w:t>ケーブル、延長ケーブルは町の用意したものを利用できる。</w:t>
      </w:r>
    </w:p>
    <w:p>
      <w:pPr>
        <w:pStyle w:val="0"/>
        <w:kinsoku w:val="0"/>
        <w:wordWrap w:val="0"/>
        <w:overflowPunct w:val="1"/>
        <w:autoSpaceDE w:val="0"/>
        <w:autoSpaceDN w:val="0"/>
        <w:ind w:left="0" w:leftChars="0" w:hanging="440" w:hangingChars="200"/>
        <w:rPr>
          <w:rFonts w:hint="eastAsia" w:ascii="ＭＳ 明朝" w:hAnsi="ＭＳ 明朝" w:eastAsia="ＭＳ 明朝"/>
          <w:color w:val="auto"/>
          <w:sz w:val="22"/>
          <w:highlight w:val="none"/>
        </w:rPr>
      </w:pPr>
      <w:r>
        <w:rPr>
          <w:rFonts w:hint="eastAsia"/>
          <w:highlight w:val="none"/>
        </w:rPr>
        <w:br w:type="page"/>
      </w:r>
    </w:p>
    <w:p>
      <w:pPr>
        <w:pStyle w:val="0"/>
        <w:kinsoku w:val="0"/>
        <w:wordWrap w:val="0"/>
        <w:overflowPunct w:val="1"/>
        <w:autoSpaceDE w:val="0"/>
        <w:autoSpaceDN w:val="0"/>
        <w:ind w:left="660" w:hanging="660" w:hangingChars="3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（６）審査基準</w:t>
      </w:r>
    </w:p>
    <w:p>
      <w:pPr>
        <w:pStyle w:val="0"/>
        <w:kinsoku w:val="0"/>
        <w:wordWrap w:val="0"/>
        <w:overflowPunct w:val="1"/>
        <w:autoSpaceDE w:val="0"/>
        <w:autoSpaceDN w:val="0"/>
        <w:ind w:left="630" w:leftChars="300" w:firstLine="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以下の審査項目とする。</w:t>
      </w:r>
    </w:p>
    <w:tbl>
      <w:tblPr>
        <w:tblStyle w:val="31"/>
        <w:tblW w:w="8639" w:type="dxa"/>
        <w:tblInd w:w="648" w:type="dxa"/>
        <w:tblLayout w:type="fixed"/>
        <w:tblLook w:firstRow="1" w:lastRow="0" w:firstColumn="1" w:lastColumn="0" w:noHBand="0" w:noVBand="1" w:val="04A0"/>
      </w:tblPr>
      <w:tblGrid>
        <w:gridCol w:w="716"/>
        <w:gridCol w:w="541"/>
        <w:gridCol w:w="7382"/>
      </w:tblGrid>
      <w:tr>
        <w:trPr/>
        <w:tc>
          <w:tcPr>
            <w:tcW w:w="720" w:type="dxa"/>
            <w:vAlign w:val="top"/>
          </w:tcPr>
          <w:p>
            <w:pPr>
              <w:pStyle w:val="0"/>
              <w:kinsoku w:val="0"/>
              <w:wordWrap w:val="0"/>
              <w:overflowPunct w:val="1"/>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項番</w:t>
            </w:r>
          </w:p>
        </w:tc>
        <w:tc>
          <w:tcPr>
            <w:tcW w:w="7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wordWrap w:val="0"/>
              <w:overflowPunct w:val="1"/>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審査項目及び内容</w:t>
            </w:r>
          </w:p>
        </w:tc>
      </w:tr>
      <w:tr>
        <w:trPr>
          <w:trHeight w:val="360" w:hRule="atLeast"/>
        </w:trPr>
        <w:tc>
          <w:tcPr>
            <w:tcW w:w="716" w:type="dxa"/>
            <w:vMerge w:val="restart"/>
            <w:vAlign w:val="top"/>
          </w:tcPr>
          <w:p>
            <w:pPr>
              <w:pStyle w:val="0"/>
              <w:kinsoku w:val="0"/>
              <w:wordWrap w:val="0"/>
              <w:overflowPunct w:val="1"/>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w:t>
            </w:r>
          </w:p>
        </w:tc>
        <w:tc>
          <w:tcPr>
            <w:tcW w:w="7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wordWrap w:val="0"/>
              <w:overflowPunct w:val="1"/>
              <w:jc w:val="lef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本工事への取組体制・遂行能力</w:t>
            </w:r>
          </w:p>
        </w:tc>
      </w:tr>
      <w:tr>
        <w:trPr/>
        <w:tc>
          <w:tcPr>
            <w:tcW w:w="716" w:type="dxa"/>
            <w:vMerge w:val="continue"/>
            <w:vAlign w:val="top"/>
          </w:tcPr>
          <w:p>
            <w:pPr>
              <w:pStyle w:val="0"/>
              <w:rPr>
                <w:rFonts w:hint="eastAsia"/>
              </w:rPr>
            </w:pPr>
          </w:p>
        </w:tc>
        <w:tc>
          <w:tcPr>
            <w:tcW w:w="544" w:type="dxa"/>
            <w:vAlign w:val="top"/>
          </w:tcPr>
          <w:p>
            <w:pPr>
              <w:pStyle w:val="0"/>
              <w:kinsoku w:val="0"/>
              <w:wordWrap w:val="0"/>
              <w:overflowPunct w:val="1"/>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⑴</w:t>
            </w:r>
          </w:p>
        </w:tc>
        <w:tc>
          <w:tcPr>
            <w:tcW w:w="7379" w:type="dxa"/>
            <w:vAlign w:val="top"/>
          </w:tcPr>
          <w:p>
            <w:pPr>
              <w:pStyle w:val="0"/>
              <w:kinsoku w:val="0"/>
              <w:wordWrap w:val="0"/>
              <w:overflowPunct w:val="1"/>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本工事の目的を踏まえた考え方及び具体的な取組方針となっているか</w:t>
            </w:r>
          </w:p>
        </w:tc>
      </w:tr>
      <w:tr>
        <w:trPr/>
        <w:tc>
          <w:tcPr>
            <w:tcW w:w="716" w:type="dxa"/>
            <w:vMerge w:val="continue"/>
            <w:vAlign w:val="top"/>
          </w:tcPr>
          <w:p>
            <w:pPr>
              <w:pStyle w:val="0"/>
              <w:rPr>
                <w:rFonts w:hint="eastAsia"/>
              </w:rPr>
            </w:pPr>
          </w:p>
        </w:tc>
        <w:tc>
          <w:tcPr>
            <w:tcW w:w="544" w:type="dxa"/>
            <w:vAlign w:val="top"/>
          </w:tcPr>
          <w:p>
            <w:pPr>
              <w:pStyle w:val="0"/>
              <w:kinsoku w:val="0"/>
              <w:wordWrap w:val="0"/>
              <w:overflowPunct w:val="1"/>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⑵</w:t>
            </w:r>
          </w:p>
        </w:tc>
        <w:tc>
          <w:tcPr>
            <w:tcW w:w="7379" w:type="dxa"/>
            <w:vAlign w:val="top"/>
          </w:tcPr>
          <w:p>
            <w:pPr>
              <w:pStyle w:val="0"/>
              <w:kinsoku w:val="0"/>
              <w:wordWrap w:val="0"/>
              <w:overflowPunct w:val="1"/>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過去の類似事業等の実績、ノウハウ、管理責任者の経験、資格などの工事の遂行能力は十分であるか</w:t>
            </w:r>
          </w:p>
        </w:tc>
      </w:tr>
      <w:tr>
        <w:trPr/>
        <w:tc>
          <w:tcPr>
            <w:tcW w:w="716" w:type="dxa"/>
            <w:vMerge w:val="continue"/>
            <w:vAlign w:val="top"/>
          </w:tcPr>
          <w:p>
            <w:pPr>
              <w:pStyle w:val="0"/>
              <w:rPr>
                <w:rFonts w:hint="eastAsia"/>
              </w:rPr>
            </w:pPr>
          </w:p>
        </w:tc>
        <w:tc>
          <w:tcPr>
            <w:tcW w:w="544" w:type="dxa"/>
            <w:vAlign w:val="top"/>
          </w:tcPr>
          <w:p>
            <w:pPr>
              <w:pStyle w:val="0"/>
              <w:kinsoku w:val="0"/>
              <w:wordWrap w:val="0"/>
              <w:overflowPunct w:val="1"/>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⑶</w:t>
            </w:r>
          </w:p>
        </w:tc>
        <w:tc>
          <w:tcPr>
            <w:tcW w:w="7379" w:type="dxa"/>
            <w:vAlign w:val="top"/>
          </w:tcPr>
          <w:p>
            <w:pPr>
              <w:pStyle w:val="0"/>
              <w:kinsoku w:val="0"/>
              <w:wordWrap w:val="0"/>
              <w:overflowPunct w:val="1"/>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工事の実施体制、危機管理体制、安全管理は十分であるか。</w:t>
            </w:r>
          </w:p>
        </w:tc>
      </w:tr>
      <w:tr>
        <w:trPr>
          <w:trHeight w:val="360" w:hRule="atLeast"/>
        </w:trPr>
        <w:tc>
          <w:tcPr>
            <w:tcW w:w="716" w:type="dxa"/>
            <w:vMerge w:val="restart"/>
            <w:vAlign w:val="top"/>
          </w:tcPr>
          <w:p>
            <w:pPr>
              <w:pStyle w:val="0"/>
              <w:kinsoku w:val="0"/>
              <w:wordWrap w:val="0"/>
              <w:overflowPunct w:val="1"/>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w:t>
            </w:r>
          </w:p>
        </w:tc>
        <w:tc>
          <w:tcPr>
            <w:tcW w:w="792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wordWrap w:val="0"/>
              <w:overflowPunct w:val="1"/>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提案内容</w:t>
            </w:r>
          </w:p>
        </w:tc>
      </w:tr>
      <w:tr>
        <w:trPr/>
        <w:tc>
          <w:tcPr>
            <w:tcW w:w="716" w:type="dxa"/>
            <w:vMerge w:val="continue"/>
            <w:vAlign w:val="top"/>
          </w:tcPr>
          <w:p>
            <w:pPr>
              <w:pStyle w:val="0"/>
              <w:rPr>
                <w:rFonts w:hint="eastAsia"/>
              </w:rPr>
            </w:pPr>
          </w:p>
        </w:tc>
        <w:tc>
          <w:tcPr>
            <w:tcW w:w="544" w:type="dxa"/>
            <w:vAlign w:val="top"/>
          </w:tcPr>
          <w:p>
            <w:pPr>
              <w:pStyle w:val="0"/>
              <w:kinsoku w:val="0"/>
              <w:wordWrap w:val="0"/>
              <w:overflowPunct w:val="1"/>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⑴</w:t>
            </w:r>
          </w:p>
        </w:tc>
        <w:tc>
          <w:tcPr>
            <w:tcW w:w="7379" w:type="dxa"/>
            <w:vAlign w:val="top"/>
          </w:tcPr>
          <w:p>
            <w:pPr>
              <w:pStyle w:val="0"/>
              <w:kinsoku w:val="0"/>
              <w:wordWrap w:val="0"/>
              <w:overflowPunct w:val="1"/>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看板デザインは、町の特性を把握し、宣伝するようなデザインとなっているか。</w:t>
            </w:r>
          </w:p>
        </w:tc>
      </w:tr>
      <w:tr>
        <w:trPr/>
        <w:tc>
          <w:tcPr>
            <w:tcW w:w="716" w:type="dxa"/>
            <w:vMerge w:val="continue"/>
            <w:vAlign w:val="top"/>
          </w:tcPr>
          <w:p>
            <w:pPr>
              <w:pStyle w:val="0"/>
              <w:rPr>
                <w:rFonts w:hint="eastAsia"/>
              </w:rPr>
            </w:pPr>
          </w:p>
        </w:tc>
        <w:tc>
          <w:tcPr>
            <w:tcW w:w="544" w:type="dxa"/>
            <w:vAlign w:val="top"/>
          </w:tcPr>
          <w:p>
            <w:pPr>
              <w:pStyle w:val="0"/>
              <w:kinsoku w:val="0"/>
              <w:wordWrap w:val="0"/>
              <w:overflowPunct w:val="1"/>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⑵</w:t>
            </w:r>
          </w:p>
        </w:tc>
        <w:tc>
          <w:tcPr>
            <w:tcW w:w="7379" w:type="dxa"/>
            <w:vAlign w:val="top"/>
          </w:tcPr>
          <w:p>
            <w:pPr>
              <w:pStyle w:val="0"/>
              <w:kinsoku w:val="0"/>
              <w:wordWrap w:val="0"/>
              <w:overflowPunct w:val="1"/>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配色及び景観を考慮しつつ、目につきやすいものとなっているか。</w:t>
            </w:r>
          </w:p>
        </w:tc>
      </w:tr>
      <w:tr>
        <w:trPr/>
        <w:tc>
          <w:tcPr>
            <w:tcW w:w="716" w:type="dxa"/>
            <w:vMerge w:val="continue"/>
            <w:vAlign w:val="top"/>
          </w:tcPr>
          <w:p>
            <w:pPr>
              <w:pStyle w:val="0"/>
              <w:rPr>
                <w:rFonts w:hint="eastAsia"/>
              </w:rPr>
            </w:pPr>
          </w:p>
        </w:tc>
        <w:tc>
          <w:tcPr>
            <w:tcW w:w="544" w:type="dxa"/>
            <w:vAlign w:val="top"/>
          </w:tcPr>
          <w:p>
            <w:pPr>
              <w:pStyle w:val="0"/>
              <w:kinsoku w:val="0"/>
              <w:wordWrap w:val="0"/>
              <w:overflowPunct w:val="1"/>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⑶</w:t>
            </w:r>
          </w:p>
        </w:tc>
        <w:tc>
          <w:tcPr>
            <w:tcW w:w="7379" w:type="dxa"/>
            <w:vAlign w:val="top"/>
          </w:tcPr>
          <w:p>
            <w:pPr>
              <w:pStyle w:val="0"/>
              <w:kinsoku w:val="0"/>
              <w:wordWrap w:val="0"/>
              <w:overflowPunct w:val="1"/>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独自の視点、工夫があり、話題となるような着想があるかどうか。</w:t>
            </w:r>
          </w:p>
        </w:tc>
      </w:tr>
      <w:tr>
        <w:trPr/>
        <w:tc>
          <w:tcPr>
            <w:tcW w:w="716" w:type="dxa"/>
            <w:vMerge w:val="continue"/>
            <w:vAlign w:val="top"/>
          </w:tcPr>
          <w:p>
            <w:pPr>
              <w:pStyle w:val="0"/>
              <w:rPr>
                <w:rFonts w:hint="eastAsia"/>
              </w:rPr>
            </w:pPr>
          </w:p>
        </w:tc>
        <w:tc>
          <w:tcPr>
            <w:tcW w:w="544" w:type="dxa"/>
            <w:vAlign w:val="top"/>
          </w:tcPr>
          <w:p>
            <w:pPr>
              <w:pStyle w:val="0"/>
              <w:kinsoku w:val="0"/>
              <w:wordWrap w:val="0"/>
              <w:overflowPunct w:val="1"/>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⑷</w:t>
            </w:r>
          </w:p>
        </w:tc>
        <w:tc>
          <w:tcPr>
            <w:tcW w:w="7379" w:type="dxa"/>
            <w:vAlign w:val="top"/>
          </w:tcPr>
          <w:p>
            <w:pPr>
              <w:pStyle w:val="0"/>
              <w:kinsoku w:val="0"/>
              <w:wordWrap w:val="0"/>
              <w:overflowPunct w:val="1"/>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屋外で長期間の使用に耐えうる耐久性があるかどうか。</w:t>
            </w:r>
          </w:p>
        </w:tc>
      </w:tr>
    </w:tbl>
    <w:p>
      <w:pPr>
        <w:pStyle w:val="0"/>
        <w:kinsoku w:val="0"/>
        <w:wordWrap w:val="0"/>
        <w:overflowPunct w:val="1"/>
        <w:autoSpaceDE w:val="0"/>
        <w:autoSpaceDN w:val="0"/>
        <w:ind w:left="630" w:leftChars="300" w:firstLine="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なお、合計点が同点である場合は、選考委員の多数決により選定するものとする。</w:t>
      </w:r>
    </w:p>
    <w:p>
      <w:pPr>
        <w:pStyle w:val="0"/>
        <w:kinsoku w:val="0"/>
        <w:wordWrap w:val="0"/>
        <w:overflowPunct w:val="1"/>
        <w:autoSpaceDE w:val="0"/>
        <w:autoSpaceDN w:val="0"/>
        <w:ind w:left="420" w:leftChars="200" w:firstLine="0" w:firstLineChars="0"/>
        <w:rPr>
          <w:rFonts w:hint="eastAsia" w:ascii="ＭＳ 明朝" w:hAnsi="ＭＳ 明朝" w:eastAsia="ＭＳ 明朝"/>
          <w:color w:val="auto"/>
          <w:sz w:val="22"/>
          <w:highlight w:val="none"/>
        </w:rPr>
      </w:pP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（７）その他</w:t>
      </w:r>
    </w:p>
    <w:p>
      <w:pPr>
        <w:pStyle w:val="0"/>
        <w:kinsoku w:val="0"/>
        <w:wordWrap w:val="0"/>
        <w:overflowPunct w:val="1"/>
        <w:autoSpaceDE w:val="0"/>
        <w:autoSpaceDN w:val="0"/>
        <w:ind w:firstLine="440" w:firstLine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ア　欠席した場合は辞退したものとみなす。</w:t>
      </w:r>
    </w:p>
    <w:p>
      <w:pPr>
        <w:pStyle w:val="0"/>
        <w:kinsoku w:val="0"/>
        <w:wordWrap w:val="0"/>
        <w:overflowPunct w:val="1"/>
        <w:autoSpaceDE w:val="0"/>
        <w:autoSpaceDN w:val="0"/>
        <w:ind w:firstLine="440" w:firstLine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イ　事業者の選定にあたり、審査項目による配点の区分は公表しない。</w:t>
      </w:r>
    </w:p>
    <w:p>
      <w:pPr>
        <w:pStyle w:val="0"/>
        <w:kinsoku w:val="0"/>
        <w:wordWrap w:val="0"/>
        <w:overflowPunct w:val="1"/>
        <w:autoSpaceDE w:val="0"/>
        <w:autoSpaceDN w:val="0"/>
        <w:ind w:left="660" w:hanging="660" w:hangingChars="3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ウ　提出意思確認書（第５号様式）による提出の意思を申し出た者が１者となった場合でも、プレゼンテーションは実施する。</w:t>
      </w:r>
    </w:p>
    <w:p>
      <w:pPr>
        <w:pStyle w:val="0"/>
        <w:kinsoku w:val="0"/>
        <w:wordWrap w:val="0"/>
        <w:overflowPunct w:val="1"/>
        <w:autoSpaceDE w:val="0"/>
        <w:autoSpaceDN w:val="0"/>
        <w:ind w:left="660" w:hanging="660" w:hangingChars="3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８　審査結果</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（１）通知方法　プレゼンテーション審査を受けた全ての企画提案者に通知する。</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（２）通知時期　令和７年１月</w:t>
      </w:r>
      <w:r>
        <w:rPr>
          <w:rFonts w:hint="eastAsia" w:ascii="ＭＳ 明朝" w:hAnsi="ＭＳ 明朝" w:eastAsia="ＭＳ 明朝"/>
          <w:color w:val="auto"/>
          <w:sz w:val="22"/>
          <w:highlight w:val="none"/>
        </w:rPr>
        <w:t>27</w:t>
      </w:r>
      <w:r>
        <w:rPr>
          <w:rFonts w:hint="eastAsia" w:ascii="ＭＳ 明朝" w:hAnsi="ＭＳ 明朝" w:eastAsia="ＭＳ 明朝"/>
          <w:color w:val="auto"/>
          <w:sz w:val="22"/>
          <w:highlight w:val="none"/>
        </w:rPr>
        <w:t>日（月）　郵送又は電話</w:t>
      </w:r>
    </w:p>
    <w:p>
      <w:pPr>
        <w:pStyle w:val="0"/>
        <w:kinsoku w:val="0"/>
        <w:wordWrap w:val="0"/>
        <w:overflowPunct w:val="1"/>
        <w:autoSpaceDE w:val="0"/>
        <w:autoSpaceDN w:val="0"/>
        <w:rPr>
          <w:rFonts w:hint="eastAsia" w:ascii="ＭＳ 明朝" w:hAnsi="ＭＳ 明朝" w:eastAsia="ＭＳ 明朝"/>
          <w:color w:val="auto"/>
          <w:sz w:val="22"/>
          <w:highlight w:val="none"/>
        </w:rPr>
      </w:pP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９　その他の留意事項</w:t>
      </w:r>
    </w:p>
    <w:p>
      <w:pPr>
        <w:pStyle w:val="0"/>
        <w:kinsoku w:val="0"/>
        <w:wordWrap w:val="0"/>
        <w:overflowPunct w:val="1"/>
        <w:autoSpaceDE w:val="0"/>
        <w:autoSpaceDN w:val="0"/>
        <w:ind w:left="440" w:hanging="44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（１）デザイン及び掲載内容については、委託者との協議により決定するため、企画提案による掲載内容及びデザインは変更する場合がある。</w:t>
      </w:r>
    </w:p>
    <w:p>
      <w:pPr>
        <w:pStyle w:val="0"/>
        <w:kinsoku w:val="0"/>
        <w:wordWrap w:val="0"/>
        <w:overflowPunct w:val="1"/>
        <w:autoSpaceDE w:val="0"/>
        <w:autoSpaceDN w:val="0"/>
        <w:ind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（２）書類作成及び提出に係る費用など、必要な経費は全て企画提案者の負担とする。</w:t>
      </w:r>
    </w:p>
    <w:p>
      <w:pPr>
        <w:pStyle w:val="0"/>
        <w:kinsoku w:val="0"/>
        <w:wordWrap w:val="0"/>
        <w:overflowPunct w:val="1"/>
        <w:autoSpaceDE w:val="0"/>
        <w:autoSpaceDN w:val="0"/>
        <w:ind w:left="440" w:hanging="44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緊急時等のやむを得ない理由等により、本プロポーザルを実施することができないと認めるときは、中止又は取消すことがある。</w:t>
      </w:r>
    </w:p>
    <w:p>
      <w:pPr>
        <w:pStyle w:val="0"/>
        <w:kinsoku w:val="0"/>
        <w:wordWrap w:val="0"/>
        <w:overflowPunct w:val="1"/>
        <w:autoSpaceDE w:val="0"/>
        <w:autoSpaceDN w:val="0"/>
        <w:ind w:left="440" w:hanging="44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なお、この場合において、本プロポーザルに要した費用を仁木町に請求することはできない。</w:t>
      </w:r>
    </w:p>
    <w:p>
      <w:pPr>
        <w:pStyle w:val="0"/>
        <w:kinsoku w:val="0"/>
        <w:wordWrap w:val="0"/>
        <w:overflowPunct w:val="1"/>
        <w:autoSpaceDE w:val="0"/>
        <w:autoSpaceDN w:val="0"/>
        <w:ind w:left="440" w:hanging="44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（３）提出後における提案書等の差替え及び再提出は認めない。ただし、町から指示があった場合を除く。</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（４）提出された全ての提出書類は返却しない。</w:t>
      </w:r>
    </w:p>
    <w:p>
      <w:pPr>
        <w:pStyle w:val="0"/>
        <w:kinsoku w:val="0"/>
        <w:wordWrap w:val="0"/>
        <w:overflowPunct w:val="1"/>
        <w:autoSpaceDE w:val="0"/>
        <w:autoSpaceDN w:val="0"/>
        <w:ind w:left="440" w:hanging="44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（５）提出された提案書等は、事業者の選定を行う作業に必要な範囲において、複製することがある。</w:t>
      </w:r>
    </w:p>
    <w:p>
      <w:pPr>
        <w:pStyle w:val="0"/>
        <w:kinsoku w:val="0"/>
        <w:wordWrap w:val="0"/>
        <w:overflowPunct w:val="1"/>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（６）提案書の提出は１者につき１案とする。</w:t>
      </w:r>
    </w:p>
    <w:p>
      <w:pPr>
        <w:pStyle w:val="0"/>
        <w:kinsoku w:val="0"/>
        <w:wordWrap w:val="0"/>
        <w:overflowPunct w:val="1"/>
        <w:autoSpaceDE w:val="0"/>
        <w:autoSpaceDN w:val="0"/>
        <w:ind w:left="440" w:hanging="44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（７）審査結果に対する異議申立は受け付けない。</w:t>
      </w:r>
    </w:p>
    <w:p>
      <w:pPr>
        <w:pStyle w:val="0"/>
        <w:kinsoku w:val="0"/>
        <w:wordWrap w:val="0"/>
        <w:overflowPunct w:val="1"/>
        <w:autoSpaceDE w:val="0"/>
        <w:autoSpaceDN w:val="0"/>
        <w:ind w:left="660" w:hanging="660" w:hangingChars="3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（８）提出された提案書等は、仁木町情報公開条例（</w:t>
      </w:r>
      <w:r>
        <w:rPr>
          <w:rFonts w:hint="eastAsia" w:ascii="ＭＳ 明朝" w:hAnsi="ＭＳ 明朝" w:eastAsia="ＭＳ 明朝"/>
          <w:color w:val="auto"/>
          <w:highlight w:val="none"/>
        </w:rPr>
        <w:t>平成</w:t>
      </w:r>
      <w:r>
        <w:rPr>
          <w:rFonts w:hint="eastAsia" w:ascii="ＭＳ 明朝" w:hAnsi="ＭＳ 明朝" w:eastAsia="ＭＳ 明朝"/>
          <w:color w:val="auto"/>
          <w:highlight w:val="none"/>
        </w:rPr>
        <w:t>16</w:t>
      </w:r>
      <w:r>
        <w:rPr>
          <w:rFonts w:hint="eastAsia" w:ascii="ＭＳ 明朝" w:hAnsi="ＭＳ 明朝" w:eastAsia="ＭＳ 明朝"/>
          <w:color w:val="auto"/>
          <w:highlight w:val="none"/>
        </w:rPr>
        <w:t>年条例第</w:t>
      </w:r>
      <w:r>
        <w:rPr>
          <w:rFonts w:hint="eastAsia" w:ascii="ＭＳ 明朝" w:hAnsi="ＭＳ 明朝" w:eastAsia="ＭＳ 明朝"/>
          <w:color w:val="auto"/>
          <w:highlight w:val="none"/>
        </w:rPr>
        <w:t>10</w:t>
      </w:r>
      <w:r>
        <w:rPr>
          <w:rFonts w:hint="eastAsia" w:ascii="ＭＳ 明朝" w:hAnsi="ＭＳ 明朝" w:eastAsia="ＭＳ 明朝"/>
          <w:color w:val="auto"/>
          <w:highlight w:val="none"/>
        </w:rPr>
        <w:t>号）に基づく情報公開請求の対象となる。ただし、事業を営む上で、競争上若しくは事業運営上の地位又は社会的な地位が不当に損なわれると認められるもの等は、非開示となる場合がある。</w:t>
      </w:r>
    </w:p>
    <w:p>
      <w:pPr>
        <w:pStyle w:val="0"/>
        <w:kinsoku w:val="0"/>
        <w:wordWrap w:val="0"/>
        <w:overflowPunct w:val="1"/>
        <w:autoSpaceDE w:val="0"/>
        <w:autoSpaceDN w:val="0"/>
        <w:ind w:left="440" w:hanging="44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（９）企画提案者は、必要書類の提出をもって、本実施要領の記載内容に同意したものとする。</w:t>
      </w:r>
    </w:p>
    <w:p>
      <w:pPr>
        <w:pStyle w:val="0"/>
        <w:kinsoku w:val="0"/>
        <w:wordWrap w:val="0"/>
        <w:overflowPunct w:val="1"/>
        <w:autoSpaceDE w:val="0"/>
        <w:autoSpaceDN w:val="0"/>
        <w:ind w:right="-283" w:rightChars="-135"/>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10</w:t>
      </w:r>
      <w:r>
        <w:rPr>
          <w:rFonts w:hint="eastAsia" w:ascii="ＭＳ 明朝" w:hAnsi="ＭＳ 明朝" w:eastAsia="ＭＳ 明朝"/>
          <w:color w:val="auto"/>
          <w:sz w:val="22"/>
          <w:highlight w:val="none"/>
        </w:rPr>
        <w:t>）手続きにおいて使用する言語は日本語、通貨単位は日本国通貨に限る。</w:t>
      </w:r>
    </w:p>
    <w:sectPr>
      <w:footerReference r:id="rId5" w:type="default"/>
      <w:pgSz w:w="11906" w:h="16838"/>
      <w:pgMar w:top="1701" w:right="1134" w:bottom="1418" w:left="1701" w:header="851" w:footer="39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Theme="majorEastAsia" w:hAnsiTheme="majorEastAsia" w:eastAsiaTheme="majorEastAsia"/>
      </w:rPr>
    </w:pPr>
    <w:r>
      <w:rPr>
        <w:rFonts w:hint="eastAsia" w:asciiTheme="majorEastAsia" w:hAnsiTheme="majorEastAsia" w:eastAsiaTheme="majorEastAsia"/>
      </w:rPr>
      <w:t>－　</w:t>
    </w:r>
    <w:sdt>
      <w:sdtPr>
        <w:rPr>
          <w:rFonts w:hint="default" w:asciiTheme="majorEastAsia" w:hAnsiTheme="majorEastAsia" w:eastAsiaTheme="majorEastAsia"/>
        </w:rPr>
        <w:id w:val="13751894"/>
        <w:docPartObj>
          <w:docPartGallery w:val="Page Numbers (Bottom of Page)"/>
          <w:docPartUnique/>
        </w:docPartObj>
      </w:sdtPr>
      <w:sdtEndPr>
        <w:rPr>
          <w:rFonts w:hint="default"/>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asciiTheme="majorEastAsia" w:hAnsiTheme="majorEastAsia" w:eastAsiaTheme="majorEastAsia"/>
          </w:rPr>
          <w:t>6</w:t>
        </w:r>
        <w:r>
          <w:rPr>
            <w:rFonts w:hint="eastAsia"/>
          </w:rPr>
          <w:fldChar w:fldCharType="end"/>
        </w:r>
        <w:r>
          <w:rPr>
            <w:rFonts w:hint="eastAsia" w:asciiTheme="majorEastAsia" w:hAnsiTheme="majorEastAsia" w:eastAsiaTheme="majorEastAsia"/>
          </w:rPr>
          <w:t>　－</w:t>
        </w:r>
      </w:sdtContent>
    </w:sdt>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3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1674</TotalTime>
  <Pages>6</Pages>
  <Words>52</Words>
  <Characters>4140</Characters>
  <Application>JUST Note</Application>
  <Lines>1368</Lines>
  <Paragraphs>152</Paragraphs>
  <CharactersWithSpaces>4265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Join</dc:creator>
  <cp:lastModifiedBy>lg-s-konno</cp:lastModifiedBy>
  <cp:lastPrinted>2024-12-13T06:35:47Z</cp:lastPrinted>
  <dcterms:created xsi:type="dcterms:W3CDTF">2017-04-04T02:18:00Z</dcterms:created>
  <dcterms:modified xsi:type="dcterms:W3CDTF">2024-12-19T05:10:42Z</dcterms:modified>
  <cp:revision>137</cp:revision>
</cp:coreProperties>
</file>