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1"/>
        <w:autoSpaceDE w:val="0"/>
        <w:autoSpaceDN w:val="0"/>
        <w:jc w:val="center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令和６年度仁木町観光看板設置工事　仕様書</w:t>
      </w: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１　工事名</w:t>
      </w: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　令和６年度仁木町観光看板設置工事</w:t>
      </w: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２　工事目的</w:t>
      </w:r>
    </w:p>
    <w:p>
      <w:pPr>
        <w:pStyle w:val="0"/>
        <w:kinsoku w:val="0"/>
        <w:overflowPunct w:val="1"/>
        <w:autoSpaceDE w:val="0"/>
        <w:autoSpaceDN w:val="0"/>
        <w:ind w:left="210" w:leftChars="100" w:firstLine="220" w:firstLineChars="100"/>
        <w:rPr>
          <w:rFonts w:hint="eastAsia" w:asciiTheme="minorEastAsia" w:hAnsiTheme="minorEastAsia" w:eastAsiaTheme="minorEastAsia"/>
          <w:b w:val="1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本町は、令和６年度末に予定している一般国道５号倶知安余市道路の（仮）仁木ＩＣ開通に伴い、札幌市や新千歳空港といった北海道の中心部及び、小樽・ニセコエリアなどの観光地へのアクセスがこれまで以上に向上し、来町者の増加が見込まれるため、ＩＣ出口付近に観光看板を設置することにより、興味関心を喚起することを目的とする。</w:t>
      </w:r>
    </w:p>
    <w:p>
      <w:pPr>
        <w:pStyle w:val="0"/>
        <w:kinsoku w:val="0"/>
        <w:overflowPunct w:val="1"/>
        <w:autoSpaceDE w:val="0"/>
        <w:autoSpaceDN w:val="0"/>
        <w:ind w:left="0" w:leftChars="0" w:firstLine="220" w:firstLineChars="1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ind w:leftChars="0" w:firstLineChars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３　工事期間</w:t>
      </w:r>
    </w:p>
    <w:p>
      <w:pPr>
        <w:pStyle w:val="0"/>
        <w:kinsoku w:val="0"/>
        <w:overflowPunct w:val="1"/>
        <w:autoSpaceDE w:val="0"/>
        <w:autoSpaceDN w:val="0"/>
        <w:ind w:leftChars="0" w:firstLineChars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　契約締結日から令和７年３月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14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日（金）まで</w:t>
      </w:r>
    </w:p>
    <w:p>
      <w:pPr>
        <w:pStyle w:val="0"/>
        <w:kinsoku w:val="0"/>
        <w:overflowPunct w:val="1"/>
        <w:autoSpaceDE w:val="0"/>
        <w:autoSpaceDN w:val="0"/>
        <w:ind w:leftChars="0" w:firstLineChars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ind w:leftChars="0" w:firstLineChars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４　工事内容</w:t>
      </w:r>
    </w:p>
    <w:p>
      <w:pPr>
        <w:pStyle w:val="0"/>
        <w:kinsoku w:val="0"/>
        <w:overflowPunct w:val="1"/>
        <w:autoSpaceDE w:val="0"/>
        <w:autoSpaceDN w:val="0"/>
        <w:ind w:left="210" w:leftChars="100" w:firstLine="220" w:firstLineChars="1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工事目的及び仕様等に沿った観光看板の提案及び設置工事とする。</w:t>
      </w: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５　納入場所</w:t>
      </w:r>
    </w:p>
    <w:p>
      <w:pPr>
        <w:pStyle w:val="0"/>
        <w:kinsoku w:val="0"/>
        <w:overflowPunct w:val="1"/>
        <w:autoSpaceDE w:val="0"/>
        <w:autoSpaceDN w:val="0"/>
        <w:ind w:firstLine="220" w:firstLineChars="1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仁木町東町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10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丁目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44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番地２　（仮）仁木ＩＣ出口付近町有地</w:t>
      </w: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６　成果物</w:t>
      </w:r>
    </w:p>
    <w:p>
      <w:pPr>
        <w:pStyle w:val="0"/>
        <w:kinsoku w:val="0"/>
        <w:overflowPunct w:val="1"/>
        <w:autoSpaceDE w:val="0"/>
        <w:autoSpaceDN w:val="0"/>
        <w:ind w:firstLine="220" w:firstLineChars="1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木材を使用した観光看板</w:t>
      </w: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７　仕様等</w:t>
      </w:r>
    </w:p>
    <w:p>
      <w:pPr>
        <w:pStyle w:val="0"/>
        <w:kinsoku w:val="0"/>
        <w:overflowPunct w:val="1"/>
        <w:autoSpaceDE w:val="0"/>
        <w:autoSpaceDN w:val="0"/>
        <w:ind w:firstLine="220" w:firstLineChars="1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⑴　看板の製作・設置</w:t>
      </w: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　ア　</w:t>
      </w:r>
      <w:r>
        <w:rPr>
          <w:rFonts w:hint="eastAsia" w:asciiTheme="minorEastAsia" w:hAnsiTheme="minorEastAsia" w:eastAsiaTheme="minorEastAsia"/>
          <w:color w:val="auto"/>
          <w:spacing w:val="165"/>
          <w:sz w:val="22"/>
          <w:highlight w:val="none"/>
          <w:fitText w:val="1320" w:id="1"/>
        </w:rPr>
        <w:t>製作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  <w:fitText w:val="1320" w:id="1"/>
        </w:rPr>
        <w:t>数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　１基</w:t>
      </w:r>
    </w:p>
    <w:p>
      <w:pPr>
        <w:pStyle w:val="0"/>
        <w:kinsoku w:val="0"/>
        <w:overflowPunct w:val="1"/>
        <w:autoSpaceDE w:val="0"/>
        <w:autoSpaceDN w:val="0"/>
        <w:ind w:left="2640" w:hanging="2640" w:hangingChars="12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　イ　</w:t>
      </w:r>
      <w:r>
        <w:rPr>
          <w:rFonts w:hint="eastAsia" w:asciiTheme="minorEastAsia" w:hAnsiTheme="minorEastAsia" w:eastAsiaTheme="minorEastAsia"/>
          <w:color w:val="auto"/>
          <w:spacing w:val="73"/>
          <w:sz w:val="22"/>
          <w:highlight w:val="none"/>
          <w:fitText w:val="1320" w:id="2"/>
        </w:rPr>
        <w:t>設置場</w:t>
      </w:r>
      <w:r>
        <w:rPr>
          <w:rFonts w:hint="eastAsia" w:asciiTheme="minorEastAsia" w:hAnsiTheme="minorEastAsia" w:eastAsiaTheme="minorEastAsia"/>
          <w:color w:val="auto"/>
          <w:spacing w:val="1"/>
          <w:sz w:val="22"/>
          <w:highlight w:val="none"/>
          <w:fitText w:val="1320" w:id="2"/>
        </w:rPr>
        <w:t>所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　仁木町東町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10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丁目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44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番地２　（仮）仁木ＩＣ出口付近町有地</w:t>
      </w:r>
    </w:p>
    <w:p>
      <w:pPr>
        <w:pStyle w:val="0"/>
        <w:kinsoku w:val="0"/>
        <w:overflowPunct w:val="1"/>
        <w:autoSpaceDE w:val="0"/>
        <w:autoSpaceDN w:val="0"/>
        <w:ind w:left="0" w:leftChars="0" w:hanging="2640" w:hangingChars="12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　ウ　規格・寸法等　　以下に定めるものとし、かつ、各種法令（道路法・道路法施行令、道路法施行規則、北海道屋外広告物条例等）を準拠したものとする。</w:t>
      </w:r>
    </w:p>
    <w:p>
      <w:pPr>
        <w:pStyle w:val="0"/>
        <w:kinsoku w:val="0"/>
        <w:overflowPunct w:val="1"/>
        <w:autoSpaceDE w:val="0"/>
        <w:autoSpaceDN w:val="0"/>
        <w:ind w:left="0" w:leftChars="0" w:hanging="2640" w:hangingChars="12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　　　</w:t>
      </w:r>
      <w:r>
        <w:rPr>
          <w:rFonts w:hint="eastAsia" w:asciiTheme="minorEastAsia" w:hAnsiTheme="minorEastAsia" w:eastAsiaTheme="minorEastAsia"/>
          <w:color w:val="auto"/>
          <w:spacing w:val="27"/>
          <w:sz w:val="22"/>
          <w:highlight w:val="none"/>
          <w:fitText w:val="1320" w:id="3"/>
        </w:rPr>
        <w:t>規格・寸</w:t>
      </w:r>
      <w:r>
        <w:rPr>
          <w:rFonts w:hint="eastAsia" w:asciiTheme="minorEastAsia" w:hAnsiTheme="minorEastAsia" w:eastAsiaTheme="minorEastAsia"/>
          <w:color w:val="auto"/>
          <w:spacing w:val="2"/>
          <w:sz w:val="22"/>
          <w:highlight w:val="none"/>
          <w:fitText w:val="1320" w:id="3"/>
        </w:rPr>
        <w:t>法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　１面の表示面積が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15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平米以内でかつ表示面積が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30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平米以内及び地上からの高さ４メートルを超えない範囲とする。なお、通年で視認出来るよう（降雪期の除雪に伴う道路脇の積雪は１．８メートル程となることを想定）考慮すること。</w:t>
      </w:r>
    </w:p>
    <w:p>
      <w:pPr>
        <w:pStyle w:val="0"/>
        <w:kinsoku w:val="0"/>
        <w:overflowPunct w:val="1"/>
        <w:autoSpaceDE w:val="0"/>
        <w:autoSpaceDN w:val="0"/>
        <w:ind w:left="0" w:leftChars="0" w:hanging="2660" w:hangingChars="1209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　　　</w:t>
      </w:r>
      <w:r>
        <w:rPr>
          <w:rFonts w:hint="eastAsia" w:asciiTheme="minorEastAsia" w:hAnsiTheme="minorEastAsia" w:eastAsiaTheme="minorEastAsia"/>
          <w:color w:val="auto"/>
          <w:spacing w:val="440"/>
          <w:sz w:val="22"/>
          <w:highlight w:val="none"/>
          <w:fitText w:val="1320" w:id="4"/>
        </w:rPr>
        <w:t>品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  <w:fitText w:val="1320" w:id="4"/>
        </w:rPr>
        <w:t>質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　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防腐・防錆等の対策を施し屋外で長期間の使用に耐えうるものとする。</w:t>
      </w:r>
    </w:p>
    <w:p>
      <w:pPr>
        <w:pStyle w:val="0"/>
        <w:kinsoku w:val="0"/>
        <w:overflowPunct w:val="1"/>
        <w:autoSpaceDE w:val="0"/>
        <w:autoSpaceDN w:val="0"/>
        <w:ind w:left="0" w:leftChars="0" w:hanging="2660" w:hangingChars="1209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ind w:left="0" w:leftChars="0" w:hanging="2660" w:hangingChars="1209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　エ　</w:t>
      </w:r>
      <w:r>
        <w:rPr>
          <w:rFonts w:hint="eastAsia" w:asciiTheme="minorEastAsia" w:hAnsiTheme="minorEastAsia" w:eastAsiaTheme="minorEastAsia"/>
          <w:color w:val="auto"/>
          <w:spacing w:val="73"/>
          <w:sz w:val="22"/>
          <w:highlight w:val="none"/>
          <w:fitText w:val="1320" w:id="5"/>
        </w:rPr>
        <w:t>特記事</w:t>
      </w:r>
      <w:r>
        <w:rPr>
          <w:rFonts w:hint="eastAsia" w:asciiTheme="minorEastAsia" w:hAnsiTheme="minorEastAsia" w:eastAsiaTheme="minorEastAsia"/>
          <w:color w:val="auto"/>
          <w:spacing w:val="1"/>
          <w:sz w:val="22"/>
          <w:highlight w:val="none"/>
          <w:fitText w:val="1320" w:id="5"/>
        </w:rPr>
        <w:t>項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　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森林整備や人工林材の付加価値向上を図るため、公共施設の木造化・木質化を促進しているため、成果物は主に木材を活用したものとする。</w:t>
      </w:r>
    </w:p>
    <w:p>
      <w:pPr>
        <w:pStyle w:val="0"/>
        <w:kinsoku w:val="0"/>
        <w:overflowPunct w:val="1"/>
        <w:autoSpaceDE w:val="0"/>
        <w:autoSpaceDN w:val="0"/>
        <w:ind w:left="0" w:leftChars="0" w:firstLine="220" w:firstLineChars="1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⑵　デザイン</w:t>
      </w:r>
    </w:p>
    <w:p>
      <w:pPr>
        <w:pStyle w:val="0"/>
        <w:kinsoku w:val="0"/>
        <w:overflowPunct w:val="1"/>
        <w:autoSpaceDE w:val="0"/>
        <w:autoSpaceDN w:val="0"/>
        <w:ind w:left="210" w:leftChars="100" w:firstLine="0" w:firstLineChars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本体・支柱等を含めた総合的なデザインについて、以下に定めるところにより、発注者と協議のうえ、決定すること。</w:t>
      </w:r>
    </w:p>
    <w:p>
      <w:pPr>
        <w:pStyle w:val="0"/>
        <w:kinsoku w:val="0"/>
        <w:overflowPunct w:val="1"/>
        <w:autoSpaceDE w:val="0"/>
        <w:autoSpaceDN w:val="0"/>
        <w:ind w:left="650" w:leftChars="100" w:hanging="440" w:hangingChars="2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ア　本町を訪れる観光客が、本町のイメージを視覚的かつ直感的にわかりやすく示す。</w:t>
      </w:r>
    </w:p>
    <w:p>
      <w:pPr>
        <w:pStyle w:val="0"/>
        <w:kinsoku w:val="0"/>
        <w:overflowPunct w:val="1"/>
        <w:autoSpaceDE w:val="0"/>
        <w:autoSpaceDN w:val="0"/>
        <w:ind w:firstLine="220" w:firstLineChars="1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イ　既存の景観に配慮したものとする。</w:t>
      </w:r>
    </w:p>
    <w:p>
      <w:pPr>
        <w:pStyle w:val="0"/>
        <w:kinsoku w:val="0"/>
        <w:overflowPunct w:val="1"/>
        <w:autoSpaceDE w:val="0"/>
        <w:autoSpaceDN w:val="0"/>
        <w:ind w:left="650" w:leftChars="100" w:hanging="440" w:hangingChars="2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ウ　遠方からでも視認性に優れるものとする。</w:t>
      </w:r>
    </w:p>
    <w:p>
      <w:pPr>
        <w:pStyle w:val="0"/>
        <w:kinsoku w:val="0"/>
        <w:overflowPunct w:val="1"/>
        <w:autoSpaceDE w:val="0"/>
        <w:autoSpaceDN w:val="0"/>
        <w:ind w:left="650" w:leftChars="100" w:hanging="440" w:hangingChars="2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⑶　企画提案書には、デザイン・形状・寸法・立面（イメージ図）及び設置方法を記載すること。</w:t>
      </w:r>
    </w:p>
    <w:p>
      <w:pPr>
        <w:pStyle w:val="0"/>
        <w:kinsoku w:val="0"/>
        <w:overflowPunct w:val="1"/>
        <w:autoSpaceDE w:val="0"/>
        <w:autoSpaceDN w:val="0"/>
        <w:ind w:left="428" w:leftChars="99" w:hanging="220" w:hangingChars="1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⑷　他で使用したレイアウト等を盗用しないこと。また、成果物は他者の所有権、著作権、肖像権を侵すものでないこと。</w:t>
      </w:r>
    </w:p>
    <w:p>
      <w:pPr>
        <w:pStyle w:val="0"/>
        <w:kinsoku w:val="0"/>
        <w:overflowPunct w:val="1"/>
        <w:autoSpaceDE w:val="0"/>
        <w:autoSpaceDN w:val="0"/>
        <w:ind w:left="428" w:leftChars="99" w:hanging="220" w:hangingChars="1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⑸　本工事において作成される成果物の著作権（著作権法（昭和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45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年法律第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48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号）第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27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条及び第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28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条に規定する権利を含む。）、所有権、その他一切の権利は発注者に帰属するものとし、成果物は発注者が自由に二次使用（印刷物の制作・編集、ホームページの掲載等）できるものとする。</w:t>
      </w:r>
    </w:p>
    <w:p>
      <w:pPr>
        <w:pStyle w:val="0"/>
        <w:kinsoku w:val="0"/>
        <w:overflowPunct w:val="1"/>
        <w:autoSpaceDE w:val="0"/>
        <w:autoSpaceDN w:val="0"/>
        <w:ind w:left="428" w:leftChars="99" w:hanging="220" w:hangingChars="1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⑹　前号に掲げる著作権の帰属設定に係る一切の費用は、工事請負費に含むものとし、問題が生じた場合は受注者において処理するものとする。</w:t>
      </w:r>
    </w:p>
    <w:p>
      <w:pPr>
        <w:pStyle w:val="0"/>
        <w:kinsoku w:val="0"/>
        <w:overflowPunct w:val="1"/>
        <w:autoSpaceDE w:val="0"/>
        <w:autoSpaceDN w:val="0"/>
        <w:ind w:firstLine="220" w:firstLineChars="10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⑺　制作に必要な一切の経費は、工事請負費に含むものとする。</w:t>
      </w: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８　検査</w:t>
      </w:r>
    </w:p>
    <w:p>
      <w:pPr>
        <w:pStyle w:val="0"/>
        <w:kinsoku w:val="0"/>
        <w:overflowPunct w:val="1"/>
        <w:autoSpaceDE w:val="0"/>
        <w:autoSpaceDN w:val="0"/>
        <w:ind w:left="210" w:leftChars="100" w:firstLine="0" w:firstLineChars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本工事は、成果物を作成、納品し、発注者の検査合格後、完了とする。また、本工事完了後においても、受注者の責任による工事上の瑕疵が発見された場合、受注者は発注者の指示に従い、受注者の負担において速やかに修正を行わなければならない。</w:t>
      </w: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９　守秘義務</w:t>
      </w:r>
    </w:p>
    <w:p>
      <w:pPr>
        <w:pStyle w:val="0"/>
        <w:kinsoku w:val="0"/>
        <w:overflowPunct w:val="1"/>
        <w:autoSpaceDE w:val="0"/>
        <w:autoSpaceDN w:val="0"/>
        <w:ind w:left="210" w:leftChars="100" w:firstLine="0" w:firstLineChars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受注者は、本工事において知り得た情報について、他に漏洩又は引用してはならない。なお、この契約が終了し又は解除された後も同様とする。</w:t>
      </w: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10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損害賠償</w:t>
      </w:r>
    </w:p>
    <w:p>
      <w:pPr>
        <w:pStyle w:val="0"/>
        <w:kinsoku w:val="0"/>
        <w:overflowPunct w:val="1"/>
        <w:autoSpaceDE w:val="0"/>
        <w:autoSpaceDN w:val="0"/>
        <w:ind w:left="210" w:leftChars="100" w:firstLine="0" w:firstLineChars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本工事の履行に際して、受注者の故意又は過失により、発注者又は第三者が損害を被った場合、受注者はその賠償の責を負うものとする。</w:t>
      </w: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11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再発注の制限</w:t>
      </w:r>
    </w:p>
    <w:p>
      <w:pPr>
        <w:pStyle w:val="0"/>
        <w:kinsoku w:val="0"/>
        <w:overflowPunct w:val="1"/>
        <w:autoSpaceDE w:val="0"/>
        <w:autoSpaceDN w:val="0"/>
        <w:ind w:left="210" w:leftChars="100" w:firstLine="0" w:firstLineChars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受注者は、本工事に関して一括して第三者に発注し、又は請け負わせることはできない。ただし、工事を効率的に実施する上で必要と認められる場合にあっては、発注者と協議の上、工事の一部を発注することができるものとする。</w:t>
      </w: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</w:p>
    <w:p>
      <w:pPr>
        <w:pStyle w:val="0"/>
        <w:kinsoku w:val="0"/>
        <w:overflowPunct w:val="1"/>
        <w:autoSpaceDE w:val="0"/>
        <w:autoSpaceDN w:val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12</w:t>
      </w: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その他</w:t>
      </w:r>
    </w:p>
    <w:p>
      <w:pPr>
        <w:pStyle w:val="0"/>
        <w:kinsoku w:val="0"/>
        <w:overflowPunct w:val="1"/>
        <w:autoSpaceDE w:val="0"/>
        <w:autoSpaceDN w:val="0"/>
        <w:ind w:left="210" w:leftChars="100" w:firstLine="0" w:firstLineChars="0"/>
        <w:rPr>
          <w:rFonts w:hint="eastAsia" w:asciiTheme="minorEastAsia" w:hAnsiTheme="minorEastAsia" w:eastAsia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2"/>
          <w:highlight w:val="none"/>
        </w:rPr>
        <w:t>　本仕様書に記載されていない事項が発生した場合、あるいは、本仕様書の記載に疑義が生じた場合は、発注者と協議の上、誠意をもって処理すること。</w:t>
      </w:r>
    </w:p>
    <w:sectPr>
      <w:footerReference r:id="rId5" w:type="default"/>
      <w:pgSz w:w="11906" w:h="16838"/>
      <w:pgMar w:top="1701" w:right="1418" w:bottom="130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30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page number"/>
    <w:basedOn w:val="10"/>
    <w:next w:val="30"/>
    <w:link w:val="0"/>
    <w:uiPriority w:val="0"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1816</TotalTime>
  <Pages>3</Pages>
  <Words>14</Words>
  <Characters>1536</Characters>
  <Application>JUST Note</Application>
  <Lines>79</Lines>
  <Paragraphs>41</Paragraphs>
  <CharactersWithSpaces>1608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Join</dc:creator>
  <cp:lastModifiedBy>lg-s-konno</cp:lastModifiedBy>
  <cp:lastPrinted>2024-12-18T08:21:30Z</cp:lastPrinted>
  <dcterms:created xsi:type="dcterms:W3CDTF">2016-08-07T23:02:00Z</dcterms:created>
  <dcterms:modified xsi:type="dcterms:W3CDTF">2024-12-18T08:22:32Z</dcterms:modified>
  <cp:revision>165</cp:revision>
</cp:coreProperties>
</file>